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C19" w:rsidRDefault="00B76502">
      <w:pPr>
        <w:spacing w:after="188" w:line="236" w:lineRule="auto"/>
        <w:ind w:left="298"/>
        <w:jc w:val="center"/>
      </w:pPr>
      <w:bookmarkStart w:id="0" w:name="_GoBack"/>
      <w:bookmarkEnd w:id="0"/>
      <w:r>
        <w:rPr>
          <w:rFonts w:ascii="Calibri" w:eastAsia="Calibri" w:hAnsi="Calibri" w:cs="Calibri"/>
          <w:b/>
        </w:rPr>
        <w:t xml:space="preserve">EXTRACT OF BIOLOGY STUDY FIELD AT KLAIPĖDA UNIVERSITY EVALUATION REPORT,            DATED 23 MARCH 2022, NO. SV4-29 </w:t>
      </w:r>
    </w:p>
    <w:p w:rsidR="006B3C19" w:rsidRDefault="00B76502">
      <w:pPr>
        <w:spacing w:after="187" w:line="259" w:lineRule="auto"/>
        <w:ind w:left="96" w:firstLine="0"/>
        <w:jc w:val="center"/>
      </w:pPr>
      <w:r>
        <w:rPr>
          <w:rFonts w:ascii="Calibri" w:eastAsia="Calibri" w:hAnsi="Calibri" w:cs="Calibri"/>
          <w:sz w:val="22"/>
        </w:rPr>
        <w:t xml:space="preserve"> </w:t>
      </w:r>
    </w:p>
    <w:p w:rsidR="006B3C19" w:rsidRDefault="00B76502">
      <w:pPr>
        <w:spacing w:after="115" w:line="259" w:lineRule="auto"/>
        <w:ind w:left="106" w:firstLine="0"/>
        <w:jc w:val="center"/>
      </w:pPr>
      <w:r>
        <w:rPr>
          <w:noProof/>
        </w:rPr>
        <w:drawing>
          <wp:inline distT="0" distB="0" distL="0" distR="0">
            <wp:extent cx="1866900" cy="115252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7"/>
                    <a:stretch>
                      <a:fillRect/>
                    </a:stretch>
                  </pic:blipFill>
                  <pic:spPr>
                    <a:xfrm>
                      <a:off x="0" y="0"/>
                      <a:ext cx="1866900" cy="1152525"/>
                    </a:xfrm>
                    <a:prstGeom prst="rect">
                      <a:avLst/>
                    </a:prstGeom>
                  </pic:spPr>
                </pic:pic>
              </a:graphicData>
            </a:graphic>
          </wp:inline>
        </w:drawing>
      </w:r>
      <w:r>
        <w:rPr>
          <w:color w:val="136C73"/>
          <w:sz w:val="28"/>
        </w:rPr>
        <w:t xml:space="preserve"> </w:t>
      </w:r>
    </w:p>
    <w:p w:rsidR="006B3C19" w:rsidRDefault="00B76502">
      <w:pPr>
        <w:spacing w:after="173" w:line="259" w:lineRule="auto"/>
        <w:ind w:left="107" w:firstLine="0"/>
        <w:jc w:val="center"/>
      </w:pPr>
      <w:r>
        <w:rPr>
          <w:color w:val="136C73"/>
          <w:sz w:val="28"/>
        </w:rPr>
        <w:t xml:space="preserve"> </w:t>
      </w:r>
    </w:p>
    <w:p w:rsidR="006B3C19" w:rsidRDefault="00B76502">
      <w:pPr>
        <w:spacing w:after="135" w:line="259" w:lineRule="auto"/>
        <w:ind w:left="109" w:right="65"/>
        <w:jc w:val="center"/>
      </w:pPr>
      <w:r>
        <w:rPr>
          <w:color w:val="136C73"/>
          <w:sz w:val="28"/>
        </w:rPr>
        <w:t xml:space="preserve">CENTRE FOR QUALITY ASSESSMENT IN HIGHER EDUCATION </w:t>
      </w:r>
    </w:p>
    <w:p w:rsidR="006B3C19" w:rsidRDefault="00B76502">
      <w:pPr>
        <w:spacing w:after="212" w:line="259" w:lineRule="auto"/>
        <w:ind w:left="0" w:firstLine="0"/>
        <w:jc w:val="left"/>
      </w:pPr>
      <w:r>
        <w:rPr>
          <w:color w:val="136C73"/>
        </w:rPr>
        <w:t xml:space="preserve"> </w:t>
      </w:r>
    </w:p>
    <w:p w:rsidR="006B3C19" w:rsidRDefault="00B76502">
      <w:pPr>
        <w:spacing w:after="173" w:line="259" w:lineRule="auto"/>
        <w:ind w:left="109" w:right="65"/>
        <w:jc w:val="center"/>
      </w:pPr>
      <w:r>
        <w:rPr>
          <w:color w:val="136C73"/>
          <w:sz w:val="28"/>
        </w:rPr>
        <w:t xml:space="preserve">–––––––––––––––––––––––––––––– </w:t>
      </w:r>
    </w:p>
    <w:p w:rsidR="006B3C19" w:rsidRDefault="00B76502">
      <w:pPr>
        <w:spacing w:after="173" w:line="259" w:lineRule="auto"/>
        <w:ind w:left="2781" w:right="2737"/>
        <w:jc w:val="center"/>
      </w:pPr>
      <w:r>
        <w:rPr>
          <w:b/>
          <w:color w:val="136C73"/>
          <w:sz w:val="28"/>
        </w:rPr>
        <w:t xml:space="preserve">EVALUATION REPORT </w:t>
      </w:r>
    </w:p>
    <w:p w:rsidR="006B3C19" w:rsidRDefault="00B76502">
      <w:pPr>
        <w:spacing w:after="72" w:line="386" w:lineRule="auto"/>
        <w:ind w:left="3089" w:right="2972"/>
        <w:jc w:val="center"/>
      </w:pPr>
      <w:r>
        <w:rPr>
          <w:b/>
          <w:color w:val="136C73"/>
          <w:sz w:val="28"/>
        </w:rPr>
        <w:t>STUDY FIELD of BIOLOGY</w:t>
      </w:r>
      <w:r>
        <w:rPr>
          <w:color w:val="136C73"/>
          <w:sz w:val="28"/>
        </w:rPr>
        <w:t xml:space="preserve"> </w:t>
      </w:r>
      <w:r>
        <w:rPr>
          <w:color w:val="136C73"/>
          <w:sz w:val="28"/>
        </w:rPr>
        <w:t xml:space="preserve">at KLAIPĖDA UNIVERSITY </w:t>
      </w:r>
    </w:p>
    <w:p w:rsidR="006B3C19" w:rsidRDefault="00B76502">
      <w:pPr>
        <w:spacing w:after="0" w:line="259" w:lineRule="auto"/>
        <w:ind w:left="125" w:firstLine="0"/>
        <w:jc w:val="center"/>
      </w:pPr>
      <w:r>
        <w:rPr>
          <w:sz w:val="36"/>
        </w:rPr>
        <w:t xml:space="preserve"> </w:t>
      </w:r>
    </w:p>
    <w:tbl>
      <w:tblPr>
        <w:tblStyle w:val="TableGrid"/>
        <w:tblW w:w="9628" w:type="dxa"/>
        <w:tblInd w:w="-275" w:type="dxa"/>
        <w:tblCellMar>
          <w:top w:w="43" w:type="dxa"/>
          <w:left w:w="116" w:type="dxa"/>
          <w:bottom w:w="0" w:type="dxa"/>
          <w:right w:w="115" w:type="dxa"/>
        </w:tblCellMar>
        <w:tblLook w:val="04A0" w:firstRow="1" w:lastRow="0" w:firstColumn="1" w:lastColumn="0" w:noHBand="0" w:noVBand="1"/>
      </w:tblPr>
      <w:tblGrid>
        <w:gridCol w:w="9628"/>
      </w:tblGrid>
      <w:tr w:rsidR="006B3C19">
        <w:trPr>
          <w:trHeight w:val="3383"/>
        </w:trPr>
        <w:tc>
          <w:tcPr>
            <w:tcW w:w="9628" w:type="dxa"/>
            <w:tcBorders>
              <w:top w:val="single" w:sz="4" w:space="0" w:color="000000"/>
              <w:left w:val="single" w:sz="4" w:space="0" w:color="000000"/>
              <w:bottom w:val="single" w:sz="4" w:space="0" w:color="000000"/>
              <w:right w:val="single" w:sz="4" w:space="0" w:color="000000"/>
            </w:tcBorders>
            <w:shd w:val="clear" w:color="auto" w:fill="85A5A4"/>
          </w:tcPr>
          <w:p w:rsidR="006B3C19" w:rsidRDefault="00B76502">
            <w:pPr>
              <w:spacing w:after="8" w:line="259" w:lineRule="auto"/>
              <w:ind w:left="0" w:firstLine="0"/>
              <w:jc w:val="left"/>
            </w:pPr>
            <w:r>
              <w:rPr>
                <w:b/>
                <w:color w:val="FFFFFF"/>
              </w:rPr>
              <w:t xml:space="preserve">Expert  panel: </w:t>
            </w:r>
          </w:p>
          <w:p w:rsidR="006B3C19" w:rsidRDefault="00B76502">
            <w:pPr>
              <w:numPr>
                <w:ilvl w:val="0"/>
                <w:numId w:val="3"/>
              </w:numPr>
              <w:spacing w:after="146" w:line="259" w:lineRule="auto"/>
              <w:ind w:firstLine="0"/>
              <w:jc w:val="left"/>
            </w:pPr>
            <w:r>
              <w:rPr>
                <w:b/>
                <w:color w:val="FFFFFF"/>
              </w:rPr>
              <w:t xml:space="preserve">Prof. dr. Mark S. Davies (panel chairperson), </w:t>
            </w:r>
            <w:r>
              <w:rPr>
                <w:color w:val="FFFFFF"/>
              </w:rPr>
              <w:t>academic</w:t>
            </w:r>
            <w:r>
              <w:rPr>
                <w:i/>
                <w:color w:val="FFFFFF"/>
              </w:rPr>
              <w:t>;</w:t>
            </w:r>
            <w:r>
              <w:rPr>
                <w:b/>
                <w:color w:val="FFFFFF"/>
              </w:rPr>
              <w:t xml:space="preserve"> </w:t>
            </w:r>
          </w:p>
          <w:p w:rsidR="006B3C19" w:rsidRDefault="00B76502">
            <w:pPr>
              <w:numPr>
                <w:ilvl w:val="0"/>
                <w:numId w:val="3"/>
              </w:numPr>
              <w:spacing w:after="142" w:line="259" w:lineRule="auto"/>
              <w:ind w:firstLine="0"/>
              <w:jc w:val="left"/>
            </w:pPr>
            <w:r>
              <w:rPr>
                <w:b/>
                <w:color w:val="FFFFFF"/>
              </w:rPr>
              <w:t>Prof. dr. Jasna Štrus,</w:t>
            </w:r>
            <w:r>
              <w:rPr>
                <w:i/>
                <w:color w:val="FFFFFF"/>
              </w:rPr>
              <w:t xml:space="preserve"> academic;</w:t>
            </w:r>
            <w:r>
              <w:rPr>
                <w:b/>
                <w:color w:val="FFFFFF"/>
              </w:rPr>
              <w:t xml:space="preserve"> </w:t>
            </w:r>
          </w:p>
          <w:p w:rsidR="006B3C19" w:rsidRDefault="00B76502">
            <w:pPr>
              <w:numPr>
                <w:ilvl w:val="0"/>
                <w:numId w:val="3"/>
              </w:numPr>
              <w:spacing w:after="147" w:line="259" w:lineRule="auto"/>
              <w:ind w:firstLine="0"/>
              <w:jc w:val="left"/>
            </w:pPr>
            <w:r>
              <w:rPr>
                <w:b/>
                <w:color w:val="FFFFFF"/>
              </w:rPr>
              <w:t>Prof. dr. Trine Johansen Meza,</w:t>
            </w:r>
            <w:r>
              <w:rPr>
                <w:i/>
                <w:color w:val="FFFFFF"/>
              </w:rPr>
              <w:t xml:space="preserve"> academic;</w:t>
            </w:r>
            <w:r>
              <w:rPr>
                <w:b/>
                <w:color w:val="FFFFFF"/>
              </w:rPr>
              <w:t xml:space="preserve"> </w:t>
            </w:r>
          </w:p>
          <w:p w:rsidR="006B3C19" w:rsidRDefault="00B76502">
            <w:pPr>
              <w:numPr>
                <w:ilvl w:val="0"/>
                <w:numId w:val="3"/>
              </w:numPr>
              <w:spacing w:after="1" w:line="383" w:lineRule="auto"/>
              <w:ind w:firstLine="0"/>
              <w:jc w:val="left"/>
            </w:pPr>
            <w:r>
              <w:rPr>
                <w:b/>
                <w:color w:val="FFFFFF"/>
              </w:rPr>
              <w:t xml:space="preserve">Assist. prof. dr. Mirela Sertić Perić, </w:t>
            </w:r>
            <w:r>
              <w:rPr>
                <w:i/>
                <w:color w:val="FFFFFF"/>
              </w:rPr>
              <w:t>academic;</w:t>
            </w:r>
            <w:r>
              <w:rPr>
                <w:b/>
                <w:color w:val="FFFFFF"/>
              </w:rPr>
              <w:t xml:space="preserve"> 5.</w:t>
            </w:r>
            <w:r>
              <w:rPr>
                <w:rFonts w:ascii="Arial" w:eastAsia="Arial" w:hAnsi="Arial" w:cs="Arial"/>
                <w:b/>
                <w:color w:val="FFFFFF"/>
              </w:rPr>
              <w:t xml:space="preserve"> </w:t>
            </w:r>
            <w:r>
              <w:rPr>
                <w:b/>
                <w:color w:val="FFFFFF"/>
              </w:rPr>
              <w:t>Mr. rūnas Leipus,</w:t>
            </w:r>
            <w:r>
              <w:rPr>
                <w:i/>
                <w:color w:val="FFFFFF"/>
              </w:rPr>
              <w:t xml:space="preserve"> </w:t>
            </w:r>
            <w:r>
              <w:rPr>
                <w:i/>
                <w:color w:val="FFFFFF"/>
              </w:rPr>
              <w:t xml:space="preserve">representative of social partners; </w:t>
            </w:r>
            <w:r>
              <w:rPr>
                <w:b/>
                <w:color w:val="FFFFFF"/>
              </w:rPr>
              <w:t xml:space="preserve"> </w:t>
            </w:r>
          </w:p>
          <w:p w:rsidR="006B3C19" w:rsidRDefault="00B76502">
            <w:pPr>
              <w:spacing w:after="116" w:line="259" w:lineRule="auto"/>
              <w:ind w:left="302" w:firstLine="0"/>
              <w:jc w:val="left"/>
            </w:pPr>
            <w:r>
              <w:rPr>
                <w:b/>
                <w:color w:val="FFFFFF"/>
              </w:rPr>
              <w:t>6.</w:t>
            </w:r>
            <w:r>
              <w:rPr>
                <w:rFonts w:ascii="Arial" w:eastAsia="Arial" w:hAnsi="Arial" w:cs="Arial"/>
                <w:b/>
                <w:color w:val="FFFFFF"/>
              </w:rPr>
              <w:t xml:space="preserve"> </w:t>
            </w:r>
            <w:r>
              <w:rPr>
                <w:b/>
                <w:color w:val="FFFFFF"/>
              </w:rPr>
              <w:t xml:space="preserve">Dr. Marcel Tarbier, </w:t>
            </w:r>
            <w:r>
              <w:rPr>
                <w:i/>
                <w:color w:val="FFFFFF"/>
              </w:rPr>
              <w:t>students’ representative</w:t>
            </w:r>
            <w:r>
              <w:rPr>
                <w:color w:val="FFFFFF"/>
              </w:rPr>
              <w:t>.</w:t>
            </w:r>
            <w:r>
              <w:rPr>
                <w:b/>
                <w:color w:val="FFFFFF"/>
              </w:rPr>
              <w:t xml:space="preserve"> </w:t>
            </w:r>
          </w:p>
          <w:p w:rsidR="006B3C19" w:rsidRDefault="00B76502">
            <w:pPr>
              <w:spacing w:after="0" w:line="259" w:lineRule="auto"/>
              <w:ind w:left="0" w:firstLine="0"/>
              <w:jc w:val="left"/>
            </w:pPr>
            <w:r>
              <w:rPr>
                <w:b/>
                <w:color w:val="FFFFFF"/>
              </w:rPr>
              <w:t xml:space="preserve"> </w:t>
            </w:r>
          </w:p>
          <w:p w:rsidR="006B3C19" w:rsidRDefault="00B76502">
            <w:pPr>
              <w:spacing w:after="0" w:line="259" w:lineRule="auto"/>
              <w:ind w:left="302" w:firstLine="0"/>
              <w:jc w:val="left"/>
            </w:pPr>
            <w:r>
              <w:rPr>
                <w:b/>
                <w:color w:val="FFFFFF"/>
              </w:rPr>
              <w:t xml:space="preserve">Evaluation coordinator – </w:t>
            </w:r>
            <w:r>
              <w:rPr>
                <w:b/>
                <w:i/>
                <w:color w:val="FFFFFF"/>
              </w:rPr>
              <w:t>Ms Natalija Bogdanova</w:t>
            </w:r>
            <w:r>
              <w:rPr>
                <w:b/>
                <w:i/>
                <w:color w:val="571C1F"/>
              </w:rPr>
              <w:t xml:space="preserve"> </w:t>
            </w:r>
            <w:r>
              <w:rPr>
                <w:b/>
                <w:color w:val="FFFFFF"/>
              </w:rPr>
              <w:t xml:space="preserve"> </w:t>
            </w:r>
          </w:p>
        </w:tc>
      </w:tr>
    </w:tbl>
    <w:p w:rsidR="006B3C19" w:rsidRDefault="00B76502">
      <w:pPr>
        <w:spacing w:after="0" w:line="259" w:lineRule="auto"/>
        <w:ind w:left="0" w:firstLine="0"/>
        <w:jc w:val="left"/>
      </w:pPr>
      <w:r>
        <w:rPr>
          <w:sz w:val="22"/>
        </w:rPr>
        <w:t xml:space="preserve"> </w:t>
      </w:r>
    </w:p>
    <w:p w:rsidR="006B3C19" w:rsidRDefault="00B76502">
      <w:pPr>
        <w:spacing w:after="0" w:line="259" w:lineRule="auto"/>
        <w:ind w:left="0" w:firstLine="0"/>
        <w:jc w:val="left"/>
      </w:pPr>
      <w:r>
        <w:rPr>
          <w:sz w:val="22"/>
        </w:rPr>
        <w:t xml:space="preserve"> </w:t>
      </w:r>
    </w:p>
    <w:p w:rsidR="006B3C19" w:rsidRDefault="00B76502">
      <w:pPr>
        <w:spacing w:after="0" w:line="259" w:lineRule="auto"/>
        <w:ind w:left="0" w:firstLine="0"/>
        <w:jc w:val="left"/>
      </w:pPr>
      <w:r>
        <w:rPr>
          <w:sz w:val="22"/>
        </w:rPr>
        <w:t xml:space="preserve"> </w:t>
      </w:r>
    </w:p>
    <w:p w:rsidR="006B3C19" w:rsidRDefault="00B76502">
      <w:pPr>
        <w:spacing w:after="5" w:line="234" w:lineRule="auto"/>
        <w:ind w:left="0" w:right="9548" w:firstLine="0"/>
        <w:jc w:val="left"/>
      </w:pPr>
      <w:r>
        <w:rPr>
          <w:sz w:val="22"/>
        </w:rPr>
        <w:t xml:space="preserve">  </w:t>
      </w:r>
    </w:p>
    <w:p w:rsidR="006B3C19" w:rsidRDefault="00B76502">
      <w:pPr>
        <w:spacing w:after="0" w:line="259" w:lineRule="auto"/>
        <w:ind w:left="0" w:firstLine="0"/>
        <w:jc w:val="left"/>
      </w:pPr>
      <w:r>
        <w:rPr>
          <w:sz w:val="22"/>
        </w:rPr>
        <w:t xml:space="preserve"> </w:t>
      </w:r>
    </w:p>
    <w:p w:rsidR="006B3C19" w:rsidRDefault="00B76502">
      <w:pPr>
        <w:spacing w:after="0" w:line="259" w:lineRule="auto"/>
        <w:ind w:left="0" w:firstLine="0"/>
        <w:jc w:val="left"/>
      </w:pPr>
      <w:r>
        <w:rPr>
          <w:sz w:val="22"/>
        </w:rPr>
        <w:t xml:space="preserve"> </w:t>
      </w:r>
    </w:p>
    <w:p w:rsidR="006B3C19" w:rsidRDefault="00B76502">
      <w:pPr>
        <w:spacing w:after="0" w:line="259" w:lineRule="auto"/>
        <w:ind w:left="0" w:firstLine="0"/>
        <w:jc w:val="left"/>
      </w:pPr>
      <w:r>
        <w:rPr>
          <w:color w:val="136C73"/>
        </w:rPr>
        <w:t xml:space="preserve"> </w:t>
      </w:r>
    </w:p>
    <w:p w:rsidR="006B3C19" w:rsidRDefault="00B76502">
      <w:pPr>
        <w:pStyle w:val="Antrat1"/>
        <w:spacing w:after="337"/>
        <w:ind w:left="10" w:hanging="10"/>
        <w:jc w:val="left"/>
      </w:pPr>
      <w:r>
        <w:rPr>
          <w:sz w:val="24"/>
        </w:rPr>
        <w:t xml:space="preserve">Report language – English © </w:t>
      </w:r>
      <w:r>
        <w:rPr>
          <w:sz w:val="24"/>
        </w:rPr>
        <w:tab/>
        <w:t xml:space="preserve">Centre for Quality Assessment in Higher Education </w:t>
      </w:r>
    </w:p>
    <w:p w:rsidR="006B3C19" w:rsidRDefault="00B76502">
      <w:pPr>
        <w:spacing w:after="3" w:line="259" w:lineRule="auto"/>
        <w:ind w:left="117" w:right="64"/>
        <w:jc w:val="center"/>
      </w:pPr>
      <w:r>
        <w:rPr>
          <w:color w:val="136C73"/>
        </w:rPr>
        <w:t xml:space="preserve">Vilnius </w:t>
      </w:r>
    </w:p>
    <w:p w:rsidR="006B3C19" w:rsidRDefault="00B76502">
      <w:pPr>
        <w:spacing w:after="3" w:line="259" w:lineRule="auto"/>
        <w:ind w:left="117" w:right="62"/>
        <w:jc w:val="center"/>
      </w:pPr>
      <w:r>
        <w:rPr>
          <w:color w:val="136C73"/>
        </w:rPr>
        <w:lastRenderedPageBreak/>
        <w:t xml:space="preserve">2022 </w:t>
      </w:r>
    </w:p>
    <w:p w:rsidR="006B3C19" w:rsidRDefault="00B76502">
      <w:pPr>
        <w:pStyle w:val="Antrat1"/>
        <w:spacing w:after="0"/>
        <w:ind w:left="10" w:right="3736" w:hanging="10"/>
        <w:jc w:val="right"/>
      </w:pPr>
      <w:r>
        <w:rPr>
          <w:b/>
          <w:sz w:val="28"/>
        </w:rPr>
        <w:t xml:space="preserve">Study Field Data </w:t>
      </w:r>
    </w:p>
    <w:tbl>
      <w:tblPr>
        <w:tblStyle w:val="TableGrid"/>
        <w:tblW w:w="9329" w:type="dxa"/>
        <w:tblInd w:w="-114" w:type="dxa"/>
        <w:tblCellMar>
          <w:top w:w="44" w:type="dxa"/>
          <w:left w:w="114" w:type="dxa"/>
          <w:bottom w:w="0" w:type="dxa"/>
          <w:right w:w="115" w:type="dxa"/>
        </w:tblCellMar>
        <w:tblLook w:val="04A0" w:firstRow="1" w:lastRow="0" w:firstColumn="1" w:lastColumn="0" w:noHBand="0" w:noVBand="1"/>
      </w:tblPr>
      <w:tblGrid>
        <w:gridCol w:w="5212"/>
        <w:gridCol w:w="4117"/>
      </w:tblGrid>
      <w:tr w:rsidR="006B3C19">
        <w:trPr>
          <w:trHeight w:val="518"/>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Title of the study programme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rPr>
                <w:b/>
              </w:rPr>
              <w:t>Biology and Marine Biotechnology</w:t>
            </w:r>
            <w:r>
              <w:rPr>
                <w:b/>
                <w:i/>
              </w:rPr>
              <w:t xml:space="preserve"> </w:t>
            </w:r>
          </w:p>
        </w:tc>
      </w:tr>
      <w:tr w:rsidR="006B3C19">
        <w:trPr>
          <w:trHeight w:val="518"/>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State code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6121DX014 </w:t>
            </w:r>
          </w:p>
        </w:tc>
      </w:tr>
      <w:tr w:rsidR="006B3C19">
        <w:trPr>
          <w:trHeight w:val="523"/>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Type of studies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University </w:t>
            </w:r>
          </w:p>
        </w:tc>
      </w:tr>
      <w:tr w:rsidR="006B3C19">
        <w:trPr>
          <w:trHeight w:val="518"/>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Cycle of studies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First </w:t>
            </w:r>
          </w:p>
        </w:tc>
      </w:tr>
      <w:tr w:rsidR="006B3C19">
        <w:trPr>
          <w:trHeight w:val="519"/>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Mode of study and duration (in years)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Full time, 3 years </w:t>
            </w:r>
          </w:p>
        </w:tc>
      </w:tr>
      <w:tr w:rsidR="006B3C19">
        <w:trPr>
          <w:trHeight w:val="523"/>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Credit volume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180 ECTS </w:t>
            </w:r>
          </w:p>
        </w:tc>
      </w:tr>
      <w:tr w:rsidR="006B3C19">
        <w:trPr>
          <w:trHeight w:val="571"/>
        </w:trPr>
        <w:tc>
          <w:tcPr>
            <w:tcW w:w="5212" w:type="dxa"/>
            <w:tcBorders>
              <w:top w:val="single" w:sz="4" w:space="0" w:color="000000"/>
              <w:left w:val="single" w:sz="4" w:space="0" w:color="000000"/>
              <w:bottom w:val="single" w:sz="4" w:space="0" w:color="000000"/>
              <w:right w:val="single" w:sz="4" w:space="0" w:color="000000"/>
            </w:tcBorders>
            <w:shd w:val="clear" w:color="auto" w:fill="EEECE1"/>
          </w:tcPr>
          <w:p w:rsidR="006B3C19" w:rsidRDefault="00B76502">
            <w:pPr>
              <w:spacing w:after="0" w:line="259" w:lineRule="auto"/>
              <w:ind w:left="0" w:firstLine="0"/>
              <w:jc w:val="left"/>
            </w:pPr>
            <w:r>
              <w:rPr>
                <w:color w:val="136C73"/>
              </w:rPr>
              <w:t xml:space="preserve">Qualification degree and (or) professional qualification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Bachelor of Life Sciences </w:t>
            </w:r>
          </w:p>
        </w:tc>
      </w:tr>
      <w:tr w:rsidR="006B3C19">
        <w:trPr>
          <w:trHeight w:val="519"/>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Language of instruction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Lithuanian </w:t>
            </w:r>
          </w:p>
        </w:tc>
      </w:tr>
      <w:tr w:rsidR="006B3C19">
        <w:trPr>
          <w:trHeight w:val="523"/>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Minimum education required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Secondary </w:t>
            </w:r>
          </w:p>
        </w:tc>
      </w:tr>
      <w:tr w:rsidR="006B3C19">
        <w:trPr>
          <w:trHeight w:val="517"/>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Registration date of the study programme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19 May 1997 </w:t>
            </w:r>
          </w:p>
        </w:tc>
      </w:tr>
    </w:tbl>
    <w:p w:rsidR="006B3C19" w:rsidRDefault="00B76502">
      <w:pPr>
        <w:spacing w:after="203" w:line="259" w:lineRule="auto"/>
        <w:ind w:left="0" w:firstLine="0"/>
        <w:jc w:val="left"/>
      </w:pPr>
      <w:r>
        <w:rPr>
          <w:i/>
          <w:color w:val="136C73"/>
        </w:rPr>
        <w:t xml:space="preserve"> </w:t>
      </w:r>
    </w:p>
    <w:p w:rsidR="006B3C19" w:rsidRDefault="00B76502">
      <w:pPr>
        <w:spacing w:after="232" w:line="259" w:lineRule="auto"/>
        <w:ind w:left="-5"/>
        <w:jc w:val="left"/>
      </w:pPr>
      <w:r>
        <w:rPr>
          <w:rFonts w:ascii="Calibri" w:eastAsia="Calibri" w:hAnsi="Calibri" w:cs="Calibri"/>
          <w:sz w:val="22"/>
        </w:rPr>
        <w:t xml:space="preserve">&lt;...&gt; </w:t>
      </w:r>
    </w:p>
    <w:p w:rsidR="006B3C19" w:rsidRDefault="00B76502">
      <w:pPr>
        <w:spacing w:after="217" w:line="259" w:lineRule="auto"/>
        <w:ind w:left="0" w:firstLine="0"/>
        <w:jc w:val="left"/>
      </w:pPr>
      <w:r>
        <w:rPr>
          <w:i/>
          <w:color w:val="136C73"/>
        </w:rPr>
        <w:t xml:space="preserve"> </w:t>
      </w:r>
    </w:p>
    <w:p w:rsidR="006B3C19" w:rsidRDefault="00B76502">
      <w:pPr>
        <w:spacing w:after="218" w:line="259" w:lineRule="auto"/>
        <w:ind w:left="0" w:firstLine="0"/>
        <w:jc w:val="left"/>
      </w:pPr>
      <w:r>
        <w:rPr>
          <w:i/>
          <w:color w:val="136C73"/>
        </w:rPr>
        <w:t xml:space="preserve"> </w:t>
      </w:r>
    </w:p>
    <w:p w:rsidR="006B3C19" w:rsidRDefault="00B76502">
      <w:pPr>
        <w:spacing w:after="217" w:line="259" w:lineRule="auto"/>
        <w:ind w:left="0" w:firstLine="0"/>
        <w:jc w:val="left"/>
      </w:pPr>
      <w:r>
        <w:rPr>
          <w:i/>
          <w:color w:val="136C73"/>
        </w:rPr>
        <w:t xml:space="preserve"> </w:t>
      </w:r>
    </w:p>
    <w:p w:rsidR="006B3C19" w:rsidRDefault="00B76502">
      <w:pPr>
        <w:spacing w:after="217" w:line="259" w:lineRule="auto"/>
        <w:ind w:left="0" w:firstLine="0"/>
        <w:jc w:val="left"/>
      </w:pPr>
      <w:r>
        <w:rPr>
          <w:i/>
          <w:color w:val="136C73"/>
        </w:rPr>
        <w:t xml:space="preserve"> </w:t>
      </w:r>
    </w:p>
    <w:p w:rsidR="006B3C19" w:rsidRDefault="00B76502">
      <w:pPr>
        <w:spacing w:after="222" w:line="259" w:lineRule="auto"/>
        <w:ind w:left="0" w:firstLine="0"/>
        <w:jc w:val="left"/>
      </w:pPr>
      <w:r>
        <w:rPr>
          <w:i/>
          <w:color w:val="136C73"/>
        </w:rPr>
        <w:t xml:space="preserve"> </w:t>
      </w:r>
    </w:p>
    <w:p w:rsidR="006B3C19" w:rsidRDefault="00B76502">
      <w:pPr>
        <w:spacing w:after="218" w:line="259" w:lineRule="auto"/>
        <w:ind w:left="0" w:firstLine="0"/>
        <w:jc w:val="left"/>
      </w:pPr>
      <w:r>
        <w:rPr>
          <w:i/>
          <w:color w:val="136C73"/>
        </w:rPr>
        <w:t xml:space="preserve"> </w:t>
      </w:r>
    </w:p>
    <w:p w:rsidR="006B3C19" w:rsidRDefault="00B76502">
      <w:pPr>
        <w:spacing w:after="217" w:line="259" w:lineRule="auto"/>
        <w:ind w:left="0" w:firstLine="0"/>
        <w:jc w:val="left"/>
      </w:pPr>
      <w:r>
        <w:rPr>
          <w:i/>
          <w:color w:val="136C73"/>
        </w:rPr>
        <w:t xml:space="preserve"> </w:t>
      </w:r>
    </w:p>
    <w:p w:rsidR="006B3C19" w:rsidRDefault="00B76502">
      <w:pPr>
        <w:spacing w:after="217" w:line="259" w:lineRule="auto"/>
        <w:ind w:left="0" w:firstLine="0"/>
        <w:jc w:val="left"/>
      </w:pPr>
      <w:r>
        <w:rPr>
          <w:i/>
          <w:color w:val="136C73"/>
        </w:rPr>
        <w:t xml:space="preserve"> </w:t>
      </w:r>
    </w:p>
    <w:p w:rsidR="006B3C19" w:rsidRDefault="00B76502">
      <w:pPr>
        <w:spacing w:after="218" w:line="259" w:lineRule="auto"/>
        <w:ind w:left="0" w:firstLine="0"/>
        <w:jc w:val="left"/>
      </w:pPr>
      <w:r>
        <w:rPr>
          <w:i/>
          <w:color w:val="136C73"/>
        </w:rPr>
        <w:t xml:space="preserve"> </w:t>
      </w:r>
    </w:p>
    <w:p w:rsidR="006B3C19" w:rsidRDefault="00B76502">
      <w:pPr>
        <w:spacing w:after="174" w:line="259" w:lineRule="auto"/>
        <w:ind w:left="0" w:firstLine="0"/>
        <w:jc w:val="left"/>
      </w:pPr>
      <w:r>
        <w:t xml:space="preserve"> </w:t>
      </w:r>
    </w:p>
    <w:p w:rsidR="006B3C19" w:rsidRDefault="00B76502">
      <w:pPr>
        <w:spacing w:after="174" w:line="259" w:lineRule="auto"/>
        <w:ind w:left="0" w:firstLine="0"/>
        <w:jc w:val="left"/>
      </w:pPr>
      <w:r>
        <w:t xml:space="preserve"> </w:t>
      </w:r>
    </w:p>
    <w:p w:rsidR="006B3C19" w:rsidRDefault="00B76502">
      <w:pPr>
        <w:spacing w:after="179" w:line="259" w:lineRule="auto"/>
        <w:ind w:left="0" w:firstLine="0"/>
        <w:jc w:val="left"/>
      </w:pPr>
      <w:r>
        <w:t xml:space="preserve"> </w:t>
      </w:r>
    </w:p>
    <w:p w:rsidR="006B3C19" w:rsidRDefault="00B76502">
      <w:pPr>
        <w:spacing w:after="174" w:line="259" w:lineRule="auto"/>
        <w:ind w:left="0" w:firstLine="0"/>
        <w:jc w:val="left"/>
      </w:pPr>
      <w:r>
        <w:t xml:space="preserve"> </w:t>
      </w:r>
    </w:p>
    <w:p w:rsidR="006B3C19" w:rsidRDefault="00B76502">
      <w:pPr>
        <w:spacing w:after="467" w:line="259" w:lineRule="auto"/>
        <w:ind w:left="0" w:firstLine="0"/>
        <w:jc w:val="left"/>
      </w:pPr>
      <w:r>
        <w:lastRenderedPageBreak/>
        <w:t xml:space="preserve"> </w:t>
      </w:r>
    </w:p>
    <w:p w:rsidR="006B3C19" w:rsidRDefault="00B76502">
      <w:pPr>
        <w:spacing w:after="0" w:line="259" w:lineRule="auto"/>
        <w:ind w:left="0" w:firstLine="0"/>
        <w:jc w:val="left"/>
      </w:pPr>
      <w:r>
        <w:rPr>
          <w:rFonts w:ascii="Calibri" w:eastAsia="Calibri" w:hAnsi="Calibri" w:cs="Calibri"/>
          <w:sz w:val="22"/>
        </w:rPr>
        <w:t xml:space="preserve"> </w:t>
      </w:r>
    </w:p>
    <w:p w:rsidR="006B3C19" w:rsidRDefault="00B76502">
      <w:pPr>
        <w:spacing w:after="197" w:line="276" w:lineRule="auto"/>
        <w:ind w:left="0" w:right="3316" w:firstLine="3410"/>
        <w:jc w:val="left"/>
      </w:pPr>
      <w:r>
        <w:rPr>
          <w:b/>
          <w:color w:val="136C73"/>
        </w:rPr>
        <w:t xml:space="preserve">II. GENERAL ASSESSMENT </w:t>
      </w:r>
      <w:r>
        <w:rPr>
          <w:i/>
        </w:rPr>
        <w:t xml:space="preserve"> </w:t>
      </w:r>
    </w:p>
    <w:p w:rsidR="006B3C19" w:rsidRDefault="00B76502">
      <w:pPr>
        <w:spacing w:after="208"/>
        <w:ind w:right="48"/>
      </w:pPr>
      <w:r>
        <w:rPr>
          <w:i/>
        </w:rPr>
        <w:t>Biology</w:t>
      </w:r>
      <w:r>
        <w:t xml:space="preserve"> study field and first cycle at Klaipėda</w:t>
      </w:r>
      <w:r>
        <w:rPr>
          <w:b/>
        </w:rPr>
        <w:t xml:space="preserve"> </w:t>
      </w:r>
      <w:r>
        <w:t>University is given</w:t>
      </w:r>
      <w:r>
        <w:rPr>
          <w:b/>
        </w:rPr>
        <w:t xml:space="preserve"> positive </w:t>
      </w:r>
      <w:r>
        <w:t xml:space="preserve">evaluation.  </w:t>
      </w:r>
    </w:p>
    <w:p w:rsidR="006B3C19" w:rsidRDefault="00B76502">
      <w:pPr>
        <w:spacing w:after="0" w:line="259" w:lineRule="auto"/>
        <w:ind w:left="0" w:firstLine="0"/>
        <w:jc w:val="left"/>
      </w:pPr>
      <w:r>
        <w:rPr>
          <w:i/>
        </w:rPr>
        <w:t>Study field and cycle assessment in points by evaluation areas</w:t>
      </w:r>
      <w:r>
        <w:t xml:space="preserve"> </w:t>
      </w:r>
    </w:p>
    <w:tbl>
      <w:tblPr>
        <w:tblStyle w:val="TableGrid"/>
        <w:tblW w:w="9753" w:type="dxa"/>
        <w:tblInd w:w="-115" w:type="dxa"/>
        <w:tblCellMar>
          <w:top w:w="44" w:type="dxa"/>
          <w:left w:w="0" w:type="dxa"/>
          <w:bottom w:w="0" w:type="dxa"/>
          <w:right w:w="63" w:type="dxa"/>
        </w:tblCellMar>
        <w:tblLook w:val="04A0" w:firstRow="1" w:lastRow="0" w:firstColumn="1" w:lastColumn="0" w:noHBand="0" w:noVBand="1"/>
      </w:tblPr>
      <w:tblGrid>
        <w:gridCol w:w="677"/>
        <w:gridCol w:w="6192"/>
        <w:gridCol w:w="1040"/>
        <w:gridCol w:w="1844"/>
      </w:tblGrid>
      <w:tr w:rsidR="006B3C19">
        <w:trPr>
          <w:trHeight w:val="855"/>
        </w:trPr>
        <w:tc>
          <w:tcPr>
            <w:tcW w:w="67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158" w:firstLine="0"/>
              <w:jc w:val="left"/>
            </w:pPr>
            <w:r>
              <w:rPr>
                <w:b/>
                <w:color w:val="136C73"/>
              </w:rPr>
              <w:t xml:space="preserve">No. </w:t>
            </w:r>
          </w:p>
        </w:tc>
        <w:tc>
          <w:tcPr>
            <w:tcW w:w="6192" w:type="dxa"/>
            <w:tcBorders>
              <w:top w:val="single" w:sz="4" w:space="0" w:color="000000"/>
              <w:left w:val="single" w:sz="4" w:space="0" w:color="000000"/>
              <w:bottom w:val="single" w:sz="4" w:space="0" w:color="000000"/>
              <w:right w:val="nil"/>
            </w:tcBorders>
            <w:vAlign w:val="center"/>
          </w:tcPr>
          <w:p w:rsidR="006B3C19" w:rsidRDefault="00B76502">
            <w:pPr>
              <w:spacing w:after="0" w:line="259" w:lineRule="auto"/>
              <w:ind w:left="1099" w:firstLine="0"/>
              <w:jc w:val="center"/>
            </w:pPr>
            <w:r>
              <w:rPr>
                <w:b/>
                <w:color w:val="136C73"/>
              </w:rPr>
              <w:t xml:space="preserve">Evaluation Area </w:t>
            </w:r>
          </w:p>
        </w:tc>
        <w:tc>
          <w:tcPr>
            <w:tcW w:w="1040" w:type="dxa"/>
            <w:tcBorders>
              <w:top w:val="single" w:sz="4" w:space="0" w:color="000000"/>
              <w:left w:val="nil"/>
              <w:bottom w:val="single" w:sz="4" w:space="0" w:color="000000"/>
              <w:right w:val="single" w:sz="4" w:space="0" w:color="000000"/>
            </w:tcBorders>
            <w:vAlign w:val="bottom"/>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0" w:firstLine="0"/>
              <w:jc w:val="center"/>
            </w:pPr>
            <w:r>
              <w:rPr>
                <w:b/>
                <w:color w:val="136C73"/>
              </w:rPr>
              <w:t xml:space="preserve">Evaluation of an Area in points*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1.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Intended and achieved learning outcomes and curriculum </w:t>
            </w:r>
          </w:p>
        </w:tc>
        <w:tc>
          <w:tcPr>
            <w:tcW w:w="1040"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2.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Links between science (art) and studies </w:t>
            </w:r>
          </w:p>
        </w:tc>
        <w:tc>
          <w:tcPr>
            <w:tcW w:w="1040"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5 </w:t>
            </w:r>
          </w:p>
        </w:tc>
      </w:tr>
      <w:tr w:rsidR="006B3C19">
        <w:trPr>
          <w:trHeight w:val="403"/>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3.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Student admission and support </w:t>
            </w:r>
          </w:p>
        </w:tc>
        <w:tc>
          <w:tcPr>
            <w:tcW w:w="1040"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4 </w:t>
            </w:r>
          </w:p>
        </w:tc>
      </w:tr>
      <w:tr w:rsidR="006B3C19">
        <w:trPr>
          <w:trHeight w:val="577"/>
        </w:trPr>
        <w:tc>
          <w:tcPr>
            <w:tcW w:w="67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59" w:firstLine="0"/>
              <w:jc w:val="center"/>
            </w:pPr>
            <w:r>
              <w:t xml:space="preserve">4.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Teaching </w:t>
            </w:r>
            <w:r>
              <w:tab/>
              <w:t xml:space="preserve">and </w:t>
            </w:r>
            <w:r>
              <w:tab/>
              <w:t xml:space="preserve">learning, </w:t>
            </w:r>
            <w:r>
              <w:tab/>
              <w:t xml:space="preserve">student </w:t>
            </w:r>
            <w:r>
              <w:tab/>
              <w:t xml:space="preserve">performance </w:t>
            </w:r>
            <w:r>
              <w:tab/>
              <w:t xml:space="preserve">and employment </w:t>
            </w:r>
          </w:p>
        </w:tc>
        <w:tc>
          <w:tcPr>
            <w:tcW w:w="1040" w:type="dxa"/>
            <w:tcBorders>
              <w:top w:val="single" w:sz="4" w:space="0" w:color="000000"/>
              <w:left w:val="nil"/>
              <w:bottom w:val="single" w:sz="4" w:space="0" w:color="000000"/>
              <w:right w:val="single" w:sz="4" w:space="0" w:color="000000"/>
            </w:tcBorders>
          </w:tcPr>
          <w:p w:rsidR="006B3C19" w:rsidRDefault="00B76502">
            <w:pPr>
              <w:spacing w:after="0" w:line="259" w:lineRule="auto"/>
              <w:ind w:left="0" w:firstLine="0"/>
            </w:pPr>
            <w:r>
              <w:t xml:space="preserve">graduate </w:t>
            </w:r>
          </w:p>
        </w:tc>
        <w:tc>
          <w:tcPr>
            <w:tcW w:w="1844"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61" w:firstLine="0"/>
              <w:jc w:val="center"/>
            </w:pPr>
            <w:r>
              <w:t xml:space="preserve">3 </w:t>
            </w:r>
          </w:p>
        </w:tc>
      </w:tr>
      <w:tr w:rsidR="006B3C19">
        <w:trPr>
          <w:trHeight w:val="403"/>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5.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Teaching staff </w:t>
            </w:r>
          </w:p>
        </w:tc>
        <w:tc>
          <w:tcPr>
            <w:tcW w:w="1040"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6.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Learning facilities and resources </w:t>
            </w:r>
          </w:p>
        </w:tc>
        <w:tc>
          <w:tcPr>
            <w:tcW w:w="1040"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4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7. </w:t>
            </w:r>
          </w:p>
        </w:tc>
        <w:tc>
          <w:tcPr>
            <w:tcW w:w="6192"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Study quality management and public information </w:t>
            </w:r>
          </w:p>
        </w:tc>
        <w:tc>
          <w:tcPr>
            <w:tcW w:w="1040"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111" w:firstLine="0"/>
              <w:jc w:val="center"/>
            </w:pPr>
            <w:r>
              <w:t xml:space="preserve"> </w:t>
            </w:r>
          </w:p>
        </w:tc>
        <w:tc>
          <w:tcPr>
            <w:tcW w:w="6192" w:type="dxa"/>
            <w:tcBorders>
              <w:top w:val="single" w:sz="4" w:space="0" w:color="000000"/>
              <w:left w:val="single" w:sz="4" w:space="0" w:color="000000"/>
              <w:bottom w:val="single" w:sz="4" w:space="0" w:color="000000"/>
              <w:right w:val="nil"/>
            </w:tcBorders>
          </w:tcPr>
          <w:p w:rsidR="006B3C19" w:rsidRDefault="006B3C19">
            <w:pPr>
              <w:spacing w:after="160" w:line="259" w:lineRule="auto"/>
              <w:ind w:left="0" w:firstLine="0"/>
              <w:jc w:val="left"/>
            </w:pPr>
          </w:p>
        </w:tc>
        <w:tc>
          <w:tcPr>
            <w:tcW w:w="1040" w:type="dxa"/>
            <w:tcBorders>
              <w:top w:val="single" w:sz="4" w:space="0" w:color="000000"/>
              <w:left w:val="nil"/>
              <w:bottom w:val="single" w:sz="4" w:space="0" w:color="000000"/>
              <w:right w:val="single" w:sz="4" w:space="0" w:color="000000"/>
            </w:tcBorders>
          </w:tcPr>
          <w:p w:rsidR="006B3C19" w:rsidRDefault="00B76502">
            <w:pPr>
              <w:spacing w:after="0" w:line="259" w:lineRule="auto"/>
              <w:ind w:left="0" w:right="48" w:firstLine="0"/>
              <w:jc w:val="right"/>
            </w:pPr>
            <w:r>
              <w:t xml:space="preserve">Total: </w:t>
            </w: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22 </w:t>
            </w:r>
          </w:p>
        </w:tc>
      </w:tr>
    </w:tbl>
    <w:p w:rsidR="006B3C19" w:rsidRDefault="00B76502">
      <w:pPr>
        <w:spacing w:after="5" w:line="248" w:lineRule="auto"/>
        <w:jc w:val="left"/>
      </w:pPr>
      <w:r>
        <w:rPr>
          <w:sz w:val="20"/>
        </w:rPr>
        <w:t xml:space="preserve">*1 (unsatisfactory) - there are essential shortcomings that must be eliminated; </w:t>
      </w:r>
    </w:p>
    <w:p w:rsidR="006B3C19" w:rsidRDefault="00B76502">
      <w:pPr>
        <w:numPr>
          <w:ilvl w:val="0"/>
          <w:numId w:val="1"/>
        </w:numPr>
        <w:spacing w:after="5" w:line="248" w:lineRule="auto"/>
        <w:ind w:hanging="154"/>
        <w:jc w:val="left"/>
      </w:pPr>
      <w:r>
        <w:rPr>
          <w:sz w:val="20"/>
        </w:rPr>
        <w:t xml:space="preserve">(satisfactory) - </w:t>
      </w:r>
      <w:r>
        <w:rPr>
          <w:sz w:val="20"/>
        </w:rPr>
        <w:t xml:space="preserve">meets the established minimum requirements, needs improvement; </w:t>
      </w:r>
    </w:p>
    <w:p w:rsidR="006B3C19" w:rsidRDefault="00B76502">
      <w:pPr>
        <w:numPr>
          <w:ilvl w:val="0"/>
          <w:numId w:val="1"/>
        </w:numPr>
        <w:spacing w:after="5" w:line="248" w:lineRule="auto"/>
        <w:ind w:hanging="154"/>
        <w:jc w:val="left"/>
      </w:pPr>
      <w:r>
        <w:rPr>
          <w:sz w:val="20"/>
        </w:rPr>
        <w:t xml:space="preserve">(good) - the field is being developed systematically, has distinctive features; </w:t>
      </w:r>
    </w:p>
    <w:p w:rsidR="006B3C19" w:rsidRDefault="00B76502">
      <w:pPr>
        <w:numPr>
          <w:ilvl w:val="0"/>
          <w:numId w:val="1"/>
        </w:numPr>
        <w:spacing w:after="29" w:line="248" w:lineRule="auto"/>
        <w:ind w:hanging="154"/>
        <w:jc w:val="left"/>
      </w:pPr>
      <w:r>
        <w:rPr>
          <w:sz w:val="20"/>
        </w:rPr>
        <w:t>(very good) - the field is evaluated very well in the national and international context, without any deficienc</w:t>
      </w:r>
      <w:r>
        <w:rPr>
          <w:sz w:val="20"/>
        </w:rPr>
        <w:t xml:space="preserve">ies; 5 (excellent) - the field is exceptionally good in the national and international context/environment. </w:t>
      </w:r>
    </w:p>
    <w:p w:rsidR="006B3C19" w:rsidRDefault="00B76502">
      <w:pPr>
        <w:spacing w:after="203" w:line="259" w:lineRule="auto"/>
        <w:ind w:left="0" w:firstLine="0"/>
        <w:jc w:val="left"/>
      </w:pPr>
      <w:r>
        <w:t xml:space="preserve"> </w:t>
      </w:r>
    </w:p>
    <w:p w:rsidR="006B3C19" w:rsidRDefault="00B76502">
      <w:pPr>
        <w:spacing w:after="232" w:line="259" w:lineRule="auto"/>
        <w:ind w:left="-5"/>
        <w:jc w:val="left"/>
      </w:pPr>
      <w:r>
        <w:rPr>
          <w:rFonts w:ascii="Calibri" w:eastAsia="Calibri" w:hAnsi="Calibri" w:cs="Calibri"/>
          <w:sz w:val="22"/>
        </w:rPr>
        <w:t xml:space="preserve">&lt;...&gt; </w:t>
      </w:r>
    </w:p>
    <w:p w:rsidR="006B3C19" w:rsidRDefault="00B76502">
      <w:pPr>
        <w:spacing w:after="217" w:line="259" w:lineRule="auto"/>
        <w:ind w:left="0" w:firstLine="0"/>
        <w:jc w:val="left"/>
      </w:pPr>
      <w:r>
        <w:t xml:space="preserve"> </w:t>
      </w:r>
    </w:p>
    <w:p w:rsidR="006B3C19" w:rsidRDefault="00B76502">
      <w:pPr>
        <w:spacing w:after="217" w:line="259" w:lineRule="auto"/>
        <w:ind w:left="0" w:firstLine="0"/>
        <w:jc w:val="left"/>
      </w:pPr>
      <w:r>
        <w:t xml:space="preserve"> </w:t>
      </w:r>
    </w:p>
    <w:p w:rsidR="006B3C19" w:rsidRDefault="00B76502">
      <w:pPr>
        <w:spacing w:after="218" w:line="259" w:lineRule="auto"/>
        <w:ind w:left="0" w:firstLine="0"/>
        <w:jc w:val="left"/>
      </w:pPr>
      <w:r>
        <w:t xml:space="preserve"> </w:t>
      </w:r>
    </w:p>
    <w:p w:rsidR="006B3C19" w:rsidRDefault="00B76502">
      <w:pPr>
        <w:spacing w:after="222" w:line="259" w:lineRule="auto"/>
        <w:ind w:left="0" w:firstLine="0"/>
        <w:jc w:val="left"/>
      </w:pPr>
      <w:r>
        <w:t xml:space="preserve"> </w:t>
      </w:r>
    </w:p>
    <w:p w:rsidR="006B3C19" w:rsidRDefault="00B76502">
      <w:pPr>
        <w:spacing w:after="217" w:line="259" w:lineRule="auto"/>
        <w:ind w:left="0" w:firstLine="0"/>
        <w:jc w:val="left"/>
      </w:pPr>
      <w:r>
        <w:t xml:space="preserve"> </w:t>
      </w:r>
    </w:p>
    <w:p w:rsidR="006B3C19" w:rsidRDefault="00B76502">
      <w:pPr>
        <w:spacing w:after="16" w:line="259" w:lineRule="auto"/>
        <w:ind w:left="99" w:firstLine="0"/>
        <w:jc w:val="center"/>
      </w:pPr>
      <w:r>
        <w:rPr>
          <w:b/>
          <w:color w:val="136C73"/>
        </w:rPr>
        <w:t xml:space="preserve"> </w:t>
      </w:r>
    </w:p>
    <w:p w:rsidR="006B3C19" w:rsidRDefault="00B76502">
      <w:pPr>
        <w:spacing w:after="2" w:line="259" w:lineRule="auto"/>
        <w:ind w:left="99" w:firstLine="0"/>
        <w:jc w:val="center"/>
      </w:pPr>
      <w:r>
        <w:rPr>
          <w:b/>
          <w:color w:val="136C73"/>
        </w:rPr>
        <w:t xml:space="preserve"> </w:t>
      </w:r>
    </w:p>
    <w:p w:rsidR="006B3C19" w:rsidRDefault="00B76502">
      <w:pPr>
        <w:spacing w:after="218" w:line="259" w:lineRule="auto"/>
        <w:ind w:left="0" w:firstLine="0"/>
        <w:jc w:val="left"/>
      </w:pPr>
      <w:r>
        <w:rPr>
          <w:rFonts w:ascii="Calibri" w:eastAsia="Calibri" w:hAnsi="Calibri" w:cs="Calibri"/>
          <w:sz w:val="22"/>
        </w:rPr>
        <w:lastRenderedPageBreak/>
        <w:t xml:space="preserve"> </w:t>
      </w:r>
    </w:p>
    <w:p w:rsidR="006B3C19" w:rsidRDefault="00B76502">
      <w:pPr>
        <w:spacing w:after="232" w:line="259" w:lineRule="auto"/>
        <w:ind w:left="0" w:firstLine="0"/>
        <w:jc w:val="left"/>
      </w:pPr>
      <w:r>
        <w:rPr>
          <w:rFonts w:ascii="Calibri" w:eastAsia="Calibri" w:hAnsi="Calibri" w:cs="Calibri"/>
          <w:sz w:val="22"/>
        </w:rPr>
        <w:t xml:space="preserve"> </w:t>
      </w:r>
    </w:p>
    <w:p w:rsidR="006B3C19" w:rsidRDefault="00B76502">
      <w:pPr>
        <w:spacing w:after="6" w:line="259" w:lineRule="auto"/>
        <w:ind w:left="99" w:firstLine="0"/>
        <w:jc w:val="center"/>
      </w:pPr>
      <w:r>
        <w:rPr>
          <w:b/>
          <w:color w:val="136C73"/>
        </w:rPr>
        <w:t xml:space="preserve"> </w:t>
      </w:r>
    </w:p>
    <w:p w:rsidR="006B3C19" w:rsidRDefault="00B76502">
      <w:pPr>
        <w:spacing w:after="0" w:line="259" w:lineRule="auto"/>
        <w:ind w:left="0" w:firstLine="0"/>
        <w:jc w:val="left"/>
      </w:pPr>
      <w:r>
        <w:rPr>
          <w:rFonts w:ascii="Calibri" w:eastAsia="Calibri" w:hAnsi="Calibri" w:cs="Calibri"/>
          <w:sz w:val="22"/>
        </w:rPr>
        <w:t xml:space="preserve"> </w:t>
      </w:r>
    </w:p>
    <w:p w:rsidR="006B3C19" w:rsidRDefault="006B3C19">
      <w:pPr>
        <w:sectPr w:rsidR="006B3C19">
          <w:footerReference w:type="even" r:id="rId8"/>
          <w:footerReference w:type="default" r:id="rId9"/>
          <w:footerReference w:type="first" r:id="rId10"/>
          <w:pgSz w:w="11904" w:h="16838"/>
          <w:pgMar w:top="1739" w:right="608" w:bottom="565" w:left="1700" w:header="567" w:footer="567" w:gutter="0"/>
          <w:pgNumType w:start="0"/>
          <w:cols w:space="1296"/>
          <w:titlePg/>
        </w:sectPr>
      </w:pPr>
    </w:p>
    <w:p w:rsidR="006B3C19" w:rsidRDefault="00B76502">
      <w:pPr>
        <w:pStyle w:val="Antrat2"/>
        <w:ind w:left="119" w:right="0"/>
      </w:pPr>
      <w:r>
        <w:lastRenderedPageBreak/>
        <w:t xml:space="preserve">IV. EXAMPLES OF EXCELLENCE </w:t>
      </w:r>
    </w:p>
    <w:p w:rsidR="006B3C19" w:rsidRDefault="00B76502">
      <w:pPr>
        <w:spacing w:after="16" w:line="259" w:lineRule="auto"/>
        <w:ind w:left="879" w:firstLine="0"/>
        <w:jc w:val="left"/>
      </w:pPr>
      <w:r>
        <w:rPr>
          <w:i/>
        </w:rPr>
        <w:t xml:space="preserve"> </w:t>
      </w:r>
    </w:p>
    <w:p w:rsidR="006B3C19" w:rsidRDefault="00B76502">
      <w:pPr>
        <w:spacing w:after="205"/>
        <w:ind w:left="153" w:right="48"/>
      </w:pPr>
      <w:r>
        <w:t xml:space="preserve">The level of integration of students in research from the first year of studies is exceptional. The students are an integrated part of the research groups.  </w:t>
      </w:r>
    </w:p>
    <w:p w:rsidR="006B3C19" w:rsidRDefault="00B76502">
      <w:pPr>
        <w:spacing w:after="217" w:line="259" w:lineRule="auto"/>
        <w:ind w:left="158" w:firstLine="0"/>
        <w:jc w:val="left"/>
      </w:pPr>
      <w:r>
        <w:t xml:space="preserve"> </w:t>
      </w:r>
    </w:p>
    <w:p w:rsidR="006B3C19" w:rsidRDefault="00B76502">
      <w:pPr>
        <w:pStyle w:val="Antrat2"/>
        <w:ind w:left="119" w:right="5"/>
      </w:pPr>
      <w:r>
        <w:t xml:space="preserve">V. RECOMMENDATIONS </w:t>
      </w:r>
    </w:p>
    <w:p w:rsidR="006B3C19" w:rsidRDefault="00B76502">
      <w:pPr>
        <w:spacing w:after="0" w:line="259" w:lineRule="auto"/>
        <w:ind w:left="519" w:firstLine="0"/>
        <w:jc w:val="left"/>
      </w:pPr>
      <w:r>
        <w:rPr>
          <w:color w:val="632423"/>
        </w:rPr>
        <w:t xml:space="preserve"> </w:t>
      </w:r>
    </w:p>
    <w:tbl>
      <w:tblPr>
        <w:tblStyle w:val="TableGrid"/>
        <w:tblW w:w="9857" w:type="dxa"/>
        <w:tblInd w:w="44" w:type="dxa"/>
        <w:tblCellMar>
          <w:top w:w="42" w:type="dxa"/>
          <w:left w:w="106" w:type="dxa"/>
          <w:bottom w:w="0" w:type="dxa"/>
          <w:right w:w="15" w:type="dxa"/>
        </w:tblCellMar>
        <w:tblLook w:val="04A0" w:firstRow="1" w:lastRow="0" w:firstColumn="1" w:lastColumn="0" w:noHBand="0" w:noVBand="1"/>
      </w:tblPr>
      <w:tblGrid>
        <w:gridCol w:w="2687"/>
        <w:gridCol w:w="7170"/>
      </w:tblGrid>
      <w:tr w:rsidR="006B3C19">
        <w:trPr>
          <w:trHeight w:val="664"/>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right="102" w:firstLine="0"/>
              <w:jc w:val="center"/>
            </w:pPr>
            <w:r>
              <w:rPr>
                <w:b/>
                <w:color w:val="136C73"/>
              </w:rPr>
              <w:t xml:space="preserve">Evaluation Area </w:t>
            </w:r>
          </w:p>
        </w:tc>
        <w:tc>
          <w:tcPr>
            <w:tcW w:w="717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right="102" w:firstLine="0"/>
              <w:jc w:val="center"/>
            </w:pPr>
            <w:r>
              <w:rPr>
                <w:b/>
                <w:color w:val="136C73"/>
              </w:rPr>
              <w:t xml:space="preserve">Recommendations for the Evaluation Area (study cycle) </w:t>
            </w:r>
          </w:p>
        </w:tc>
      </w:tr>
      <w:tr w:rsidR="006B3C19">
        <w:trPr>
          <w:trHeight w:val="6628"/>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Intended and achieved learning outcomes and curriculum </w:t>
            </w: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245" w:line="272" w:lineRule="auto"/>
              <w:ind w:left="2" w:firstLine="0"/>
            </w:pPr>
            <w:r>
              <w:t xml:space="preserve">Increase students' awareness of their employment opportunities after graduation. </w:t>
            </w:r>
          </w:p>
          <w:p w:rsidR="006B3C19" w:rsidRDefault="00B76502">
            <w:pPr>
              <w:spacing w:after="238" w:line="274" w:lineRule="auto"/>
              <w:ind w:left="2" w:right="96" w:firstLine="0"/>
            </w:pPr>
            <w:r>
              <w:t xml:space="preserve">Replace the most commonly used teaching/learning methods (traditional lectures and literature analysis) with other, modern teaching methods (e.g. digitally assisted teaching, collaborative learning, flipped classroom, project-based learning). </w:t>
            </w:r>
          </w:p>
          <w:p w:rsidR="006B3C19" w:rsidRDefault="00B76502">
            <w:pPr>
              <w:spacing w:after="261" w:line="259" w:lineRule="auto"/>
              <w:ind w:left="2" w:firstLine="0"/>
              <w:jc w:val="left"/>
            </w:pPr>
            <w:r>
              <w:t>Update teach</w:t>
            </w:r>
            <w:r>
              <w:t xml:space="preserve">ing/learning literature with current titles. </w:t>
            </w:r>
          </w:p>
          <w:p w:rsidR="006B3C19" w:rsidRDefault="00B76502">
            <w:pPr>
              <w:spacing w:after="238" w:line="274" w:lineRule="auto"/>
              <w:ind w:left="2" w:right="102" w:firstLine="0"/>
            </w:pPr>
            <w:r>
              <w:t xml:space="preserve">Introduce curriculum changes (e.g., include evolution in the required curriculum) to better cover the biology portion of the degree/study programme. </w:t>
            </w:r>
          </w:p>
          <w:p w:rsidR="006B3C19" w:rsidRDefault="00B76502">
            <w:pPr>
              <w:spacing w:after="243" w:line="274" w:lineRule="auto"/>
              <w:ind w:left="2" w:right="99" w:firstLine="0"/>
            </w:pPr>
            <w:r>
              <w:t xml:space="preserve">Introduce changes to the list of learning outcomes to better cover the biotechnology part of the degree/study programme (i.e., supplement the list with learning outcomes that emphasize knowledge of the Technological Sciences).  </w:t>
            </w:r>
          </w:p>
          <w:p w:rsidR="006B3C19" w:rsidRDefault="00B76502">
            <w:pPr>
              <w:spacing w:after="0" w:line="259" w:lineRule="auto"/>
              <w:ind w:left="2" w:firstLine="0"/>
            </w:pPr>
            <w:r>
              <w:t>It would be good to reconsi</w:t>
            </w:r>
            <w:r>
              <w:t xml:space="preserve">der the title of the programme in relation to its aims, content and outcomes. </w:t>
            </w:r>
          </w:p>
        </w:tc>
      </w:tr>
      <w:tr w:rsidR="006B3C19">
        <w:trPr>
          <w:trHeight w:val="1145"/>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pPr>
            <w:r>
              <w:rPr>
                <w:color w:val="136C73"/>
              </w:rPr>
              <w:t xml:space="preserve">Links between science (art) and studies </w:t>
            </w:r>
          </w:p>
        </w:tc>
        <w:tc>
          <w:tcPr>
            <w:tcW w:w="7171"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right="108" w:firstLine="0"/>
            </w:pPr>
            <w:r>
              <w:t xml:space="preserve">Monitor the level of integration of students in research if the student number increases to secure the continued exceptional  level of integration. </w:t>
            </w:r>
          </w:p>
        </w:tc>
      </w:tr>
      <w:tr w:rsidR="006B3C19">
        <w:trPr>
          <w:trHeight w:val="2025"/>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Student admission and support </w:t>
            </w: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201" w:line="273" w:lineRule="auto"/>
              <w:ind w:left="2" w:firstLine="0"/>
            </w:pPr>
            <w:r>
              <w:t>Initial problems of students with Lithuanian as a second or foreign languag</w:t>
            </w:r>
            <w:r>
              <w:t xml:space="preserve">e could be monitored and addressed if necessary. </w:t>
            </w:r>
          </w:p>
          <w:p w:rsidR="006B3C19" w:rsidRDefault="00B76502">
            <w:pPr>
              <w:spacing w:after="197" w:line="276" w:lineRule="auto"/>
              <w:ind w:left="2" w:firstLine="0"/>
            </w:pPr>
            <w:r>
              <w:t xml:space="preserve">Students should be further encouraged to participate in study mobility programmes. </w:t>
            </w:r>
          </w:p>
          <w:p w:rsidR="006B3C19" w:rsidRDefault="00B76502">
            <w:pPr>
              <w:spacing w:after="0" w:line="259" w:lineRule="auto"/>
              <w:ind w:left="2" w:firstLine="0"/>
              <w:jc w:val="left"/>
            </w:pPr>
            <w:r>
              <w:t xml:space="preserve">Student representation should be formalized, transparent, and </w:t>
            </w:r>
          </w:p>
        </w:tc>
      </w:tr>
      <w:tr w:rsidR="006B3C19">
        <w:trPr>
          <w:trHeight w:val="1382"/>
        </w:trPr>
        <w:tc>
          <w:tcPr>
            <w:tcW w:w="2687" w:type="dxa"/>
            <w:tcBorders>
              <w:top w:val="single" w:sz="4" w:space="0" w:color="000000"/>
              <w:left w:val="single" w:sz="4" w:space="0" w:color="000000"/>
              <w:bottom w:val="single" w:sz="4" w:space="0" w:color="000000"/>
              <w:right w:val="single" w:sz="4" w:space="0" w:color="000000"/>
            </w:tcBorders>
            <w:shd w:val="clear" w:color="auto" w:fill="EEECE1"/>
          </w:tcPr>
          <w:p w:rsidR="006B3C19" w:rsidRDefault="006B3C19">
            <w:pPr>
              <w:spacing w:after="160" w:line="259" w:lineRule="auto"/>
              <w:ind w:left="0" w:firstLine="0"/>
              <w:jc w:val="left"/>
            </w:pP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222" w:line="259" w:lineRule="auto"/>
              <w:ind w:left="14" w:firstLine="0"/>
              <w:jc w:val="left"/>
            </w:pPr>
            <w:r>
              <w:t xml:space="preserve">communicated to the students in the programme. </w:t>
            </w:r>
          </w:p>
          <w:p w:rsidR="006B3C19" w:rsidRDefault="00B76502">
            <w:pPr>
              <w:spacing w:after="0" w:line="259" w:lineRule="auto"/>
              <w:ind w:left="14" w:firstLine="0"/>
            </w:pPr>
            <w:r>
              <w:t xml:space="preserve">Increase the number of students enrolled with the first priority choice of the programme. </w:t>
            </w:r>
          </w:p>
        </w:tc>
      </w:tr>
      <w:tr w:rsidR="006B3C19">
        <w:trPr>
          <w:trHeight w:val="2811"/>
        </w:trPr>
        <w:tc>
          <w:tcPr>
            <w:tcW w:w="2687" w:type="dxa"/>
            <w:tcBorders>
              <w:top w:val="single" w:sz="4" w:space="0" w:color="000000"/>
              <w:left w:val="single" w:sz="4" w:space="0" w:color="000000"/>
              <w:bottom w:val="single" w:sz="44" w:space="0" w:color="EEECE1"/>
              <w:right w:val="single" w:sz="4" w:space="0" w:color="000000"/>
            </w:tcBorders>
            <w:shd w:val="clear" w:color="auto" w:fill="EEECE1"/>
            <w:vAlign w:val="center"/>
          </w:tcPr>
          <w:p w:rsidR="006B3C19" w:rsidRDefault="00B76502">
            <w:pPr>
              <w:spacing w:after="0" w:line="259" w:lineRule="auto"/>
              <w:ind w:left="8" w:firstLine="0"/>
              <w:jc w:val="left"/>
            </w:pPr>
            <w:r>
              <w:rPr>
                <w:color w:val="136C73"/>
              </w:rPr>
              <w:t xml:space="preserve">Teaching and learning, student performance and graduate employment </w:t>
            </w:r>
          </w:p>
        </w:tc>
        <w:tc>
          <w:tcPr>
            <w:tcW w:w="7171" w:type="dxa"/>
            <w:tcBorders>
              <w:top w:val="single" w:sz="4" w:space="0" w:color="000000"/>
              <w:left w:val="single" w:sz="4" w:space="0" w:color="000000"/>
              <w:bottom w:val="single" w:sz="8" w:space="0" w:color="000000"/>
              <w:right w:val="single" w:sz="4" w:space="0" w:color="000000"/>
            </w:tcBorders>
          </w:tcPr>
          <w:p w:rsidR="006B3C19" w:rsidRDefault="00B76502">
            <w:pPr>
              <w:spacing w:after="238" w:line="274" w:lineRule="auto"/>
              <w:ind w:left="14" w:right="65" w:firstLine="0"/>
            </w:pPr>
            <w:r>
              <w:t xml:space="preserve">Replace written exams with alternative forms of assessment or omit written exams in courses where there are many other forms of knowledge assessment. </w:t>
            </w:r>
          </w:p>
          <w:p w:rsidR="006B3C19" w:rsidRDefault="00B76502">
            <w:pPr>
              <w:spacing w:after="235" w:line="276" w:lineRule="auto"/>
              <w:ind w:left="14" w:firstLine="0"/>
            </w:pPr>
            <w:r>
              <w:t xml:space="preserve">More advertising at faculty level and connections with social partners is needed. </w:t>
            </w:r>
          </w:p>
          <w:p w:rsidR="006B3C19" w:rsidRDefault="00B76502">
            <w:pPr>
              <w:spacing w:after="0" w:line="259" w:lineRule="auto"/>
              <w:ind w:left="14" w:firstLine="0"/>
            </w:pPr>
            <w:r>
              <w:t>The connections with g</w:t>
            </w:r>
            <w:r>
              <w:t xml:space="preserve">raduates should be strengthened and outcomes followed during a longer period. </w:t>
            </w:r>
          </w:p>
        </w:tc>
      </w:tr>
      <w:tr w:rsidR="006B3C19">
        <w:trPr>
          <w:trHeight w:val="2627"/>
        </w:trPr>
        <w:tc>
          <w:tcPr>
            <w:tcW w:w="2687" w:type="dxa"/>
            <w:tcBorders>
              <w:top w:val="single" w:sz="44" w:space="0" w:color="EEECE1"/>
              <w:left w:val="single" w:sz="4" w:space="0" w:color="000000"/>
              <w:bottom w:val="double" w:sz="22" w:space="0" w:color="EEECE1"/>
              <w:right w:val="single" w:sz="8" w:space="0" w:color="000000"/>
            </w:tcBorders>
            <w:shd w:val="clear" w:color="auto" w:fill="EEECE1"/>
            <w:vAlign w:val="center"/>
          </w:tcPr>
          <w:p w:rsidR="006B3C19" w:rsidRDefault="00B76502">
            <w:pPr>
              <w:spacing w:after="0" w:line="259" w:lineRule="auto"/>
              <w:ind w:left="8" w:firstLine="0"/>
              <w:jc w:val="left"/>
            </w:pPr>
            <w:r>
              <w:rPr>
                <w:color w:val="136C73"/>
              </w:rPr>
              <w:t xml:space="preserve">Teaching staff </w:t>
            </w:r>
          </w:p>
        </w:tc>
        <w:tc>
          <w:tcPr>
            <w:tcW w:w="7171" w:type="dxa"/>
            <w:tcBorders>
              <w:top w:val="single" w:sz="8" w:space="0" w:color="000000"/>
              <w:left w:val="single" w:sz="8" w:space="0" w:color="000000"/>
              <w:bottom w:val="single" w:sz="8" w:space="0" w:color="000000"/>
              <w:right w:val="single" w:sz="8" w:space="0" w:color="000000"/>
            </w:tcBorders>
          </w:tcPr>
          <w:p w:rsidR="006B3C19" w:rsidRDefault="00B76502">
            <w:pPr>
              <w:spacing w:after="244" w:line="273" w:lineRule="auto"/>
              <w:ind w:left="0" w:firstLine="0"/>
            </w:pPr>
            <w:r>
              <w:t xml:space="preserve">Increase both incoming and outgoing staff mobility, and increase the numbers of individual staff participating. </w:t>
            </w:r>
          </w:p>
          <w:p w:rsidR="006B3C19" w:rsidRDefault="00B76502">
            <w:pPr>
              <w:spacing w:after="0" w:line="259" w:lineRule="auto"/>
              <w:ind w:left="0" w:right="52" w:firstLine="0"/>
            </w:pPr>
            <w:r>
              <w:t>Re-</w:t>
            </w:r>
            <w:r>
              <w:t xml:space="preserve">evaluate the whole approach to ensuring that teaching staff are competent to perform their duties. This involves ensuring that all staff are adequately and professionally trained for her/his role as a teacher and assessor in higher education, including in </w:t>
            </w:r>
            <w:r>
              <w:t xml:space="preserve">the use of modern pedagogical techniques. </w:t>
            </w:r>
          </w:p>
        </w:tc>
      </w:tr>
      <w:tr w:rsidR="006B3C19">
        <w:trPr>
          <w:trHeight w:val="1198"/>
        </w:trPr>
        <w:tc>
          <w:tcPr>
            <w:tcW w:w="2687" w:type="dxa"/>
            <w:tcBorders>
              <w:top w:val="double" w:sz="22" w:space="0" w:color="EEECE1"/>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8" w:firstLine="0"/>
              <w:jc w:val="left"/>
            </w:pPr>
            <w:r>
              <w:rPr>
                <w:color w:val="136C73"/>
              </w:rPr>
              <w:t xml:space="preserve">Learning facilities and resources </w:t>
            </w:r>
          </w:p>
        </w:tc>
        <w:tc>
          <w:tcPr>
            <w:tcW w:w="7171" w:type="dxa"/>
            <w:tcBorders>
              <w:top w:val="single" w:sz="8"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14" w:right="64" w:firstLine="0"/>
            </w:pPr>
            <w:r>
              <w:t xml:space="preserve">The learning facilities and laboratories are state of the art and well kept. The university should continue the work to secure the continued updating of the equipment.  </w:t>
            </w:r>
          </w:p>
        </w:tc>
      </w:tr>
      <w:tr w:rsidR="006B3C19">
        <w:trPr>
          <w:trHeight w:val="1461"/>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8" w:right="59" w:firstLine="0"/>
              <w:jc w:val="left"/>
            </w:pPr>
            <w:r>
              <w:rPr>
                <w:color w:val="136C73"/>
              </w:rPr>
              <w:t xml:space="preserve">Study quality management and public information </w:t>
            </w:r>
          </w:p>
        </w:tc>
        <w:tc>
          <w:tcPr>
            <w:tcW w:w="7171"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14" w:right="62" w:firstLine="0"/>
            </w:pPr>
            <w:r>
              <w:t xml:space="preserve">Student feedback on study process and planning based on formal questionnaires should be replaced by  a more effective system that allows rapid changes in the quality of the study program. </w:t>
            </w:r>
          </w:p>
        </w:tc>
      </w:tr>
    </w:tbl>
    <w:p w:rsidR="006B3C19" w:rsidRDefault="00B76502">
      <w:pPr>
        <w:spacing w:after="185" w:line="259" w:lineRule="auto"/>
        <w:ind w:left="158" w:firstLine="0"/>
        <w:jc w:val="left"/>
      </w:pPr>
      <w:r>
        <w:t xml:space="preserve"> </w:t>
      </w:r>
    </w:p>
    <w:p w:rsidR="006B3C19" w:rsidRDefault="00B76502">
      <w:pPr>
        <w:spacing w:after="0" w:line="259" w:lineRule="auto"/>
        <w:ind w:left="158" w:firstLine="0"/>
      </w:pPr>
      <w:r>
        <w:rPr>
          <w:rFonts w:ascii="Calibri" w:eastAsia="Calibri" w:hAnsi="Calibri" w:cs="Calibri"/>
          <w:sz w:val="22"/>
        </w:rPr>
        <w:t xml:space="preserve"> </w:t>
      </w:r>
      <w:r>
        <w:rPr>
          <w:rFonts w:ascii="Calibri" w:eastAsia="Calibri" w:hAnsi="Calibri" w:cs="Calibri"/>
          <w:sz w:val="22"/>
        </w:rPr>
        <w:tab/>
      </w:r>
      <w:r>
        <w:rPr>
          <w:b/>
          <w:color w:val="800000"/>
        </w:rPr>
        <w:t xml:space="preserve"> </w:t>
      </w:r>
    </w:p>
    <w:p w:rsidR="006B3C19" w:rsidRDefault="00B76502">
      <w:pPr>
        <w:spacing w:after="197" w:line="276" w:lineRule="auto"/>
        <w:ind w:left="571" w:right="4069" w:firstLine="3645"/>
        <w:jc w:val="left"/>
      </w:pPr>
      <w:r>
        <w:rPr>
          <w:b/>
          <w:color w:val="136C73"/>
        </w:rPr>
        <w:t>VI. SUMMARY</w:t>
      </w:r>
      <w:r>
        <w:rPr>
          <w:b/>
          <w:color w:val="136C73"/>
        </w:rPr>
        <w:t xml:space="preserve"> </w:t>
      </w:r>
      <w:r>
        <w:t xml:space="preserve"> </w:t>
      </w:r>
    </w:p>
    <w:p w:rsidR="006B3C19" w:rsidRDefault="00B76502">
      <w:pPr>
        <w:spacing w:after="202" w:line="272" w:lineRule="auto"/>
        <w:ind w:left="153"/>
        <w:jc w:val="left"/>
      </w:pPr>
      <w:r>
        <w:rPr>
          <w:b/>
        </w:rPr>
        <w:t xml:space="preserve">Main positive and negative quality aspects of each evaluation area of the study field </w:t>
      </w:r>
      <w:r>
        <w:rPr>
          <w:b/>
          <w:i/>
        </w:rPr>
        <w:t>Biology</w:t>
      </w:r>
      <w:r>
        <w:rPr>
          <w:b/>
        </w:rPr>
        <w:t xml:space="preserve"> at Klaipėda University:  </w:t>
      </w:r>
    </w:p>
    <w:p w:rsidR="006B3C19" w:rsidRDefault="00B76502">
      <w:pPr>
        <w:ind w:left="153" w:right="48"/>
      </w:pPr>
      <w:r>
        <w:t xml:space="preserve">The overall evaluation report of the BSc programme </w:t>
      </w:r>
      <w:r>
        <w:rPr>
          <w:i/>
        </w:rPr>
        <w:t>Biology and Marine biotechnology</w:t>
      </w:r>
      <w:r>
        <w:t xml:space="preserve"> </w:t>
      </w:r>
      <w:r>
        <w:t>is positive. The panel received all the information needed for successful assessment of the program. Based on the extensive SER and virtual meeting with different stakeholders, as well as additional documentation kindly provided by KU, the panel exposes ma</w:t>
      </w:r>
      <w:r>
        <w:t xml:space="preserve">in positive and negative quality aspects of the program assessment: </w:t>
      </w:r>
    </w:p>
    <w:p w:rsidR="006B3C19" w:rsidRDefault="00B76502">
      <w:pPr>
        <w:spacing w:after="261" w:line="259" w:lineRule="auto"/>
        <w:ind w:left="153"/>
        <w:jc w:val="left"/>
      </w:pPr>
      <w:r>
        <w:rPr>
          <w:u w:val="single" w:color="000000"/>
        </w:rPr>
        <w:lastRenderedPageBreak/>
        <w:t>Positive quality aspects of the evaluation:</w:t>
      </w:r>
      <w:r>
        <w:t xml:space="preserve"> </w:t>
      </w:r>
    </w:p>
    <w:p w:rsidR="006B3C19" w:rsidRDefault="00B76502">
      <w:pPr>
        <w:ind w:left="153" w:right="48"/>
      </w:pPr>
      <w:r>
        <w:t>The program is well structured, the aims and learning outcomes are clearly defined. The study program gives excellent opportunities for studen</w:t>
      </w:r>
      <w:r>
        <w:t xml:space="preserve">t individual work/research and is in line with the needs of society and the labour market. There are good opportunities for employment and/or continuation of studies at the second level cycle. </w:t>
      </w:r>
    </w:p>
    <w:p w:rsidR="006B3C19" w:rsidRDefault="00B76502">
      <w:pPr>
        <w:ind w:left="153" w:right="48"/>
      </w:pPr>
      <w:r>
        <w:t>The scientific credentials and qualifications of teaching staf</w:t>
      </w:r>
      <w:r>
        <w:t xml:space="preserve">f are very good. There are several strong research projects with national and international funding. </w:t>
      </w:r>
    </w:p>
    <w:p w:rsidR="006B3C19" w:rsidRDefault="00B76502">
      <w:pPr>
        <w:ind w:left="153" w:right="48"/>
      </w:pPr>
      <w:r>
        <w:t xml:space="preserve">The reorganisation process of merging the Faculty of Marine Technology and Natural Sciences with the Marine Research Institute is still an ongoing process and so far the transition is successful and MRI is very active in promoting the program to potential </w:t>
      </w:r>
      <w:r>
        <w:t xml:space="preserve">students. </w:t>
      </w:r>
    </w:p>
    <w:p w:rsidR="006B3C19" w:rsidRDefault="00B76502">
      <w:pPr>
        <w:ind w:left="153" w:right="48"/>
      </w:pPr>
      <w:r>
        <w:t xml:space="preserve">Successful achievement of individual study results is ensured for all students, including students with disabilities and special needs, by applying various study methods and effective cooperation between lecturers and students.  </w:t>
      </w:r>
    </w:p>
    <w:p w:rsidR="006B3C19" w:rsidRDefault="00B76502">
      <w:pPr>
        <w:ind w:left="153" w:right="48"/>
      </w:pPr>
      <w:r>
        <w:t>The laboratorie</w:t>
      </w:r>
      <w:r>
        <w:t xml:space="preserve">s for studies and research are well equipped and give excellent opportunities for student research. MRI has plans for upgrading and further developing the research infrastructure. </w:t>
      </w:r>
    </w:p>
    <w:p w:rsidR="006B3C19" w:rsidRDefault="00B76502">
      <w:pPr>
        <w:ind w:left="153" w:right="48"/>
      </w:pPr>
      <w:r>
        <w:t>The organisation and evaluation of the study process is performed by MRI In</w:t>
      </w:r>
      <w:r>
        <w:t xml:space="preserve">ternal Study Organisation group and includes all stakeholders who meet annually to discuss the quality of studies based on survey data from students and graduates. </w:t>
      </w:r>
    </w:p>
    <w:p w:rsidR="006B3C19" w:rsidRDefault="00B76502">
      <w:pPr>
        <w:spacing w:after="261" w:line="259" w:lineRule="auto"/>
        <w:ind w:left="153"/>
        <w:jc w:val="left"/>
      </w:pPr>
      <w:r>
        <w:t xml:space="preserve"> </w:t>
      </w:r>
      <w:r>
        <w:rPr>
          <w:u w:val="single" w:color="000000"/>
        </w:rPr>
        <w:t>Negative quality  aspects of evaluation:</w:t>
      </w:r>
      <w:r>
        <w:t xml:space="preserve"> </w:t>
      </w:r>
    </w:p>
    <w:p w:rsidR="006B3C19" w:rsidRDefault="00B76502">
      <w:pPr>
        <w:ind w:left="153" w:right="48"/>
      </w:pPr>
      <w:r>
        <w:t>Learning outcomes inadequately cover the biotech</w:t>
      </w:r>
      <w:r>
        <w:t xml:space="preserve">nology part of the study programme </w:t>
      </w:r>
      <w:r>
        <w:rPr>
          <w:i/>
        </w:rPr>
        <w:t>Biology and Marine biotechnology</w:t>
      </w:r>
      <w:r>
        <w:t xml:space="preserve">, i.e. learning outcomes that emphasize knowledge of the Technological Sciences and its application are underrepresented in the study programme.  </w:t>
      </w:r>
    </w:p>
    <w:p w:rsidR="006B3C19" w:rsidRDefault="00B76502">
      <w:pPr>
        <w:ind w:left="153" w:right="48"/>
      </w:pPr>
      <w:r>
        <w:t>Curriculum inadequately covers the biology</w:t>
      </w:r>
      <w:r>
        <w:t xml:space="preserve"> part of the study programme so the title of the programme does not correspond to the actual program’s plan. </w:t>
      </w:r>
    </w:p>
    <w:p w:rsidR="006B3C19" w:rsidRDefault="00B76502">
      <w:pPr>
        <w:ind w:left="153" w:right="48"/>
      </w:pPr>
      <w:r>
        <w:t xml:space="preserve">The extensive three year program BSc </w:t>
      </w:r>
      <w:r>
        <w:rPr>
          <w:i/>
        </w:rPr>
        <w:t>Biology and Marine biotechnology</w:t>
      </w:r>
      <w:r>
        <w:t xml:space="preserve"> is mostly based on general courses and very few electives are available for </w:t>
      </w:r>
      <w:r>
        <w:t xml:space="preserve">acquisition of the specific knowledge. </w:t>
      </w:r>
    </w:p>
    <w:p w:rsidR="006B3C19" w:rsidRDefault="00B76502">
      <w:pPr>
        <w:ind w:left="153" w:right="48"/>
      </w:pPr>
      <w:r>
        <w:t xml:space="preserve">The implementation of modern and diverse study and assessment methods is very weak in the study area of </w:t>
      </w:r>
      <w:r>
        <w:rPr>
          <w:i/>
        </w:rPr>
        <w:t>Biology and Marine Biotechnology</w:t>
      </w:r>
      <w:r>
        <w:t xml:space="preserve">.  The proposed study literature in course descriptions is somewhat outdated. </w:t>
      </w:r>
    </w:p>
    <w:p w:rsidR="006B3C19" w:rsidRDefault="00B76502">
      <w:pPr>
        <w:ind w:left="153" w:right="48"/>
      </w:pPr>
      <w:r>
        <w:t>T</w:t>
      </w:r>
      <w:r>
        <w:t xml:space="preserve">he lack of attention to the professionalism of teaching staff in relation to learning and teaching, and very low staff mobility is a problem at KU. </w:t>
      </w:r>
    </w:p>
    <w:p w:rsidR="006B3C19" w:rsidRDefault="00B76502">
      <w:pPr>
        <w:ind w:left="153" w:right="48"/>
      </w:pPr>
      <w:r>
        <w:t xml:space="preserve">Low student mobility during the last 3 years, probably also due to the pandemic situation. </w:t>
      </w:r>
    </w:p>
    <w:p w:rsidR="006B3C19" w:rsidRDefault="00B76502">
      <w:pPr>
        <w:ind w:left="153" w:right="48"/>
      </w:pPr>
      <w:r>
        <w:t>Very low number</w:t>
      </w:r>
      <w:r>
        <w:t xml:space="preserve"> of students enrolled with the first priority choice. </w:t>
      </w:r>
    </w:p>
    <w:p w:rsidR="006B3C19" w:rsidRDefault="00B76502">
      <w:pPr>
        <w:spacing w:after="9"/>
        <w:ind w:left="153" w:right="48"/>
      </w:pPr>
      <w:r>
        <w:lastRenderedPageBreak/>
        <w:t xml:space="preserve">The quality and processing of the formal surveys for improvement of the study programme is not reliable due to the low number of respondents and ineffective questionnaires. </w:t>
      </w:r>
    </w:p>
    <w:p w:rsidR="006B3C19" w:rsidRDefault="00B76502">
      <w:pPr>
        <w:spacing w:after="217" w:line="259" w:lineRule="auto"/>
        <w:ind w:left="158" w:firstLine="0"/>
        <w:jc w:val="left"/>
      </w:pPr>
      <w:r>
        <w:t xml:space="preserve"> </w:t>
      </w:r>
    </w:p>
    <w:p w:rsidR="006B3C19" w:rsidRDefault="00B76502">
      <w:pPr>
        <w:spacing w:after="217" w:line="259" w:lineRule="auto"/>
        <w:ind w:left="109" w:firstLine="0"/>
        <w:jc w:val="center"/>
      </w:pPr>
      <w:r>
        <w:t xml:space="preserve">_______________ </w:t>
      </w:r>
    </w:p>
    <w:p w:rsidR="006B3C19" w:rsidRDefault="00B76502">
      <w:pPr>
        <w:spacing w:after="218"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18"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22"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18"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18"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17" w:line="259" w:lineRule="auto"/>
        <w:ind w:left="158" w:firstLine="0"/>
        <w:jc w:val="left"/>
      </w:pPr>
      <w:r>
        <w:t xml:space="preserve"> </w:t>
      </w:r>
    </w:p>
    <w:p w:rsidR="006B3C19" w:rsidRDefault="00B76502">
      <w:pPr>
        <w:spacing w:after="203" w:line="259" w:lineRule="auto"/>
        <w:ind w:left="158" w:firstLine="0"/>
        <w:jc w:val="left"/>
      </w:pPr>
      <w:r>
        <w:t xml:space="preserve"> </w:t>
      </w:r>
    </w:p>
    <w:p w:rsidR="006B3C19" w:rsidRDefault="00B76502">
      <w:pPr>
        <w:spacing w:after="0" w:line="259" w:lineRule="auto"/>
        <w:ind w:left="0" w:firstLine="0"/>
        <w:jc w:val="right"/>
      </w:pPr>
      <w:r>
        <w:rPr>
          <w:rFonts w:ascii="Calibri" w:eastAsia="Calibri" w:hAnsi="Calibri" w:cs="Calibri"/>
          <w:b/>
          <w:sz w:val="22"/>
        </w:rPr>
        <w:t xml:space="preserve"> </w:t>
      </w:r>
    </w:p>
    <w:p w:rsidR="006B3C19" w:rsidRDefault="00B76502">
      <w:pPr>
        <w:spacing w:after="237" w:line="259" w:lineRule="auto"/>
        <w:ind w:left="0" w:right="52" w:firstLine="0"/>
        <w:jc w:val="right"/>
      </w:pPr>
      <w:r>
        <w:rPr>
          <w:rFonts w:ascii="Calibri" w:eastAsia="Calibri" w:hAnsi="Calibri" w:cs="Calibri"/>
          <w:b/>
          <w:sz w:val="22"/>
        </w:rPr>
        <w:t xml:space="preserve">Vertimas iš anglų kalbos  </w:t>
      </w:r>
    </w:p>
    <w:p w:rsidR="006B3C19" w:rsidRDefault="00B76502">
      <w:pPr>
        <w:spacing w:after="236" w:line="236" w:lineRule="auto"/>
        <w:ind w:left="298" w:right="288"/>
        <w:jc w:val="center"/>
      </w:pPr>
      <w:r>
        <w:rPr>
          <w:rFonts w:ascii="Calibri" w:eastAsia="Calibri" w:hAnsi="Calibri" w:cs="Calibri"/>
          <w:b/>
        </w:rPr>
        <w:t xml:space="preserve">KLAIPĖDOS UNIVERSITETO BIOLOGIJOS KRYPTIES STUDIJŲ 2022 M. KOVO 23 D. EKSPERTINIO VERTINIMO IŠVADŲ NR. SV4-29 IŠRAŠAS </w:t>
      </w:r>
    </w:p>
    <w:p w:rsidR="006B3C19" w:rsidRDefault="00B76502">
      <w:pPr>
        <w:spacing w:after="276" w:line="259" w:lineRule="auto"/>
        <w:ind w:left="163" w:firstLine="0"/>
        <w:jc w:val="center"/>
      </w:pPr>
      <w:r>
        <w:rPr>
          <w:rFonts w:ascii="Calibri" w:eastAsia="Calibri" w:hAnsi="Calibri" w:cs="Calibri"/>
          <w:b/>
        </w:rPr>
        <w:t xml:space="preserve"> </w:t>
      </w:r>
    </w:p>
    <w:p w:rsidR="006B3C19" w:rsidRDefault="00B76502">
      <w:pPr>
        <w:spacing w:after="137" w:line="259" w:lineRule="auto"/>
        <w:ind w:left="186" w:firstLine="0"/>
        <w:jc w:val="center"/>
      </w:pPr>
      <w:r>
        <w:rPr>
          <w:noProof/>
        </w:rPr>
        <w:drawing>
          <wp:inline distT="0" distB="0" distL="0" distR="0">
            <wp:extent cx="1866900" cy="1152525"/>
            <wp:effectExtent l="0" t="0" r="0" b="0"/>
            <wp:docPr id="1085"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7"/>
                    <a:stretch>
                      <a:fillRect/>
                    </a:stretch>
                  </pic:blipFill>
                  <pic:spPr>
                    <a:xfrm>
                      <a:off x="0" y="0"/>
                      <a:ext cx="1866900" cy="1152525"/>
                    </a:xfrm>
                    <a:prstGeom prst="rect">
                      <a:avLst/>
                    </a:prstGeom>
                  </pic:spPr>
                </pic:pic>
              </a:graphicData>
            </a:graphic>
          </wp:inline>
        </w:drawing>
      </w:r>
      <w:r>
        <w:rPr>
          <w:i/>
          <w:sz w:val="36"/>
        </w:rPr>
        <w:t xml:space="preserve"> </w:t>
      </w:r>
    </w:p>
    <w:p w:rsidR="006B3C19" w:rsidRDefault="00B76502">
      <w:pPr>
        <w:pStyle w:val="Antrat1"/>
      </w:pPr>
      <w:r>
        <w:t>STUDIJŲ KOKYBĖS IR VERTINIMO CENTRAS</w:t>
      </w:r>
      <w:r>
        <w:rPr>
          <w:sz w:val="36"/>
        </w:rPr>
        <w:t xml:space="preserve"> </w:t>
      </w:r>
    </w:p>
    <w:p w:rsidR="006B3C19" w:rsidRDefault="00B76502">
      <w:pPr>
        <w:spacing w:after="173" w:line="259" w:lineRule="auto"/>
        <w:ind w:left="109" w:right="2"/>
        <w:jc w:val="center"/>
      </w:pPr>
      <w:r>
        <w:rPr>
          <w:color w:val="136C73"/>
          <w:sz w:val="28"/>
        </w:rPr>
        <w:t xml:space="preserve">–––––––––––––––––––––––––––––– </w:t>
      </w:r>
    </w:p>
    <w:p w:rsidR="006B3C19" w:rsidRDefault="00B76502">
      <w:pPr>
        <w:spacing w:after="173" w:line="259" w:lineRule="auto"/>
        <w:ind w:left="109"/>
        <w:jc w:val="center"/>
      </w:pPr>
      <w:r>
        <w:rPr>
          <w:color w:val="136C73"/>
          <w:sz w:val="28"/>
        </w:rPr>
        <w:lastRenderedPageBreak/>
        <w:t xml:space="preserve">KLAIPĖDOS UNIVERSITETO  </w:t>
      </w:r>
    </w:p>
    <w:p w:rsidR="006B3C19" w:rsidRDefault="00B76502">
      <w:pPr>
        <w:spacing w:after="28" w:line="333" w:lineRule="auto"/>
        <w:ind w:left="2781" w:right="2544"/>
        <w:jc w:val="center"/>
      </w:pPr>
      <w:r>
        <w:rPr>
          <w:b/>
          <w:color w:val="136C73"/>
          <w:sz w:val="28"/>
        </w:rPr>
        <w:t>BIOLOGIJOS KRYPTIES  VERTINIMO IŠVADOS</w:t>
      </w:r>
      <w:r>
        <w:rPr>
          <w:b/>
          <w:color w:val="136C73"/>
          <w:sz w:val="36"/>
        </w:rPr>
        <w:t xml:space="preserve"> </w:t>
      </w:r>
    </w:p>
    <w:p w:rsidR="006B3C19" w:rsidRDefault="00B76502">
      <w:pPr>
        <w:spacing w:after="127" w:line="259" w:lineRule="auto"/>
        <w:ind w:left="188" w:firstLine="0"/>
        <w:jc w:val="center"/>
      </w:pPr>
      <w:r>
        <w:rPr>
          <w:sz w:val="36"/>
        </w:rPr>
        <w:t xml:space="preserve"> </w:t>
      </w:r>
    </w:p>
    <w:p w:rsidR="006B3C19" w:rsidRDefault="00B76502">
      <w:pPr>
        <w:pBdr>
          <w:top w:val="single" w:sz="4" w:space="0" w:color="000000"/>
          <w:left w:val="single" w:sz="4" w:space="0" w:color="000000"/>
          <w:bottom w:val="single" w:sz="4" w:space="0" w:color="000000"/>
          <w:right w:val="single" w:sz="4" w:space="0" w:color="000000"/>
        </w:pBdr>
        <w:shd w:val="clear" w:color="auto" w:fill="85A5A4"/>
        <w:spacing w:after="147" w:line="259" w:lineRule="auto"/>
        <w:ind w:left="-5"/>
        <w:jc w:val="left"/>
      </w:pPr>
      <w:r>
        <w:rPr>
          <w:b/>
          <w:color w:val="FFFFFF"/>
        </w:rPr>
        <w:t xml:space="preserve">Expert  panel: </w:t>
      </w:r>
    </w:p>
    <w:p w:rsidR="006B3C19" w:rsidRDefault="00B76502">
      <w:pPr>
        <w:numPr>
          <w:ilvl w:val="0"/>
          <w:numId w:val="2"/>
        </w:numPr>
        <w:pBdr>
          <w:top w:val="single" w:sz="4" w:space="0" w:color="000000"/>
          <w:left w:val="single" w:sz="4" w:space="0" w:color="000000"/>
          <w:bottom w:val="single" w:sz="4" w:space="0" w:color="000000"/>
          <w:right w:val="single" w:sz="4" w:space="0" w:color="000000"/>
        </w:pBdr>
        <w:shd w:val="clear" w:color="auto" w:fill="85A5A4"/>
        <w:spacing w:after="147" w:line="259" w:lineRule="auto"/>
        <w:ind w:left="345" w:hanging="360"/>
        <w:jc w:val="left"/>
      </w:pPr>
      <w:r>
        <w:rPr>
          <w:b/>
          <w:color w:val="FFFFFF"/>
        </w:rPr>
        <w:t>Prof. dr. Mark S. Davies (vadovas)</w:t>
      </w:r>
      <w:r>
        <w:rPr>
          <w:color w:val="FFFFFF"/>
        </w:rPr>
        <w:t xml:space="preserve">, </w:t>
      </w:r>
      <w:r>
        <w:rPr>
          <w:i/>
          <w:color w:val="FFFFFF"/>
        </w:rPr>
        <w:t>akademinės bendruomenės atstovas;</w:t>
      </w:r>
      <w:r>
        <w:rPr>
          <w:color w:val="FFFFFF"/>
        </w:rPr>
        <w:t xml:space="preserve"> </w:t>
      </w:r>
    </w:p>
    <w:p w:rsidR="006B3C19" w:rsidRDefault="00B76502">
      <w:pPr>
        <w:numPr>
          <w:ilvl w:val="0"/>
          <w:numId w:val="2"/>
        </w:numPr>
        <w:pBdr>
          <w:top w:val="single" w:sz="4" w:space="0" w:color="000000"/>
          <w:left w:val="single" w:sz="4" w:space="0" w:color="000000"/>
          <w:bottom w:val="single" w:sz="4" w:space="0" w:color="000000"/>
          <w:right w:val="single" w:sz="4" w:space="0" w:color="000000"/>
        </w:pBdr>
        <w:shd w:val="clear" w:color="auto" w:fill="85A5A4"/>
        <w:spacing w:after="147" w:line="259" w:lineRule="auto"/>
        <w:ind w:left="345" w:hanging="360"/>
        <w:jc w:val="left"/>
      </w:pPr>
      <w:r>
        <w:rPr>
          <w:b/>
          <w:color w:val="FFFFFF"/>
        </w:rPr>
        <w:t>Prof. dr. Jasna Štrus</w:t>
      </w:r>
      <w:r>
        <w:rPr>
          <w:color w:val="FFFFFF"/>
        </w:rPr>
        <w:t>,</w:t>
      </w:r>
      <w:r>
        <w:rPr>
          <w:i/>
          <w:color w:val="FFFFFF"/>
        </w:rPr>
        <w:t xml:space="preserve"> akademinės bendruomenės atstovė;</w:t>
      </w:r>
      <w:r>
        <w:rPr>
          <w:color w:val="FFFFFF"/>
        </w:rPr>
        <w:t xml:space="preserve"> </w:t>
      </w:r>
    </w:p>
    <w:p w:rsidR="006B3C19" w:rsidRDefault="00B76502">
      <w:pPr>
        <w:numPr>
          <w:ilvl w:val="0"/>
          <w:numId w:val="2"/>
        </w:numPr>
        <w:pBdr>
          <w:top w:val="single" w:sz="4" w:space="0" w:color="000000"/>
          <w:left w:val="single" w:sz="4" w:space="0" w:color="000000"/>
          <w:bottom w:val="single" w:sz="4" w:space="0" w:color="000000"/>
          <w:right w:val="single" w:sz="4" w:space="0" w:color="000000"/>
        </w:pBdr>
        <w:shd w:val="clear" w:color="auto" w:fill="85A5A4"/>
        <w:spacing w:after="147" w:line="259" w:lineRule="auto"/>
        <w:ind w:left="345" w:hanging="360"/>
        <w:jc w:val="left"/>
      </w:pPr>
      <w:r>
        <w:rPr>
          <w:b/>
          <w:color w:val="FFFFFF"/>
        </w:rPr>
        <w:t>Prof. dr. Trine Johansen Meza</w:t>
      </w:r>
      <w:r>
        <w:rPr>
          <w:color w:val="FFFFFF"/>
        </w:rPr>
        <w:t>,</w:t>
      </w:r>
      <w:r>
        <w:rPr>
          <w:i/>
          <w:color w:val="FFFFFF"/>
        </w:rPr>
        <w:t xml:space="preserve"> </w:t>
      </w:r>
      <w:r>
        <w:rPr>
          <w:i/>
          <w:color w:val="FFFFFF"/>
        </w:rPr>
        <w:t>akademinės bendruomenės atstovė;</w:t>
      </w:r>
      <w:r>
        <w:rPr>
          <w:color w:val="FFFFFF"/>
        </w:rPr>
        <w:t xml:space="preserve"> </w:t>
      </w:r>
    </w:p>
    <w:p w:rsidR="006B3C19" w:rsidRDefault="00B76502">
      <w:pPr>
        <w:numPr>
          <w:ilvl w:val="0"/>
          <w:numId w:val="2"/>
        </w:numPr>
        <w:pBdr>
          <w:top w:val="single" w:sz="4" w:space="0" w:color="000000"/>
          <w:left w:val="single" w:sz="4" w:space="0" w:color="000000"/>
          <w:bottom w:val="single" w:sz="4" w:space="0" w:color="000000"/>
          <w:right w:val="single" w:sz="4" w:space="0" w:color="000000"/>
        </w:pBdr>
        <w:shd w:val="clear" w:color="auto" w:fill="85A5A4"/>
        <w:spacing w:after="147" w:line="259" w:lineRule="auto"/>
        <w:ind w:left="345" w:hanging="360"/>
        <w:jc w:val="left"/>
      </w:pPr>
      <w:r>
        <w:rPr>
          <w:b/>
          <w:color w:val="FFFFFF"/>
        </w:rPr>
        <w:t>Assist. prof. dr. Mirela Sertić Perić</w:t>
      </w:r>
      <w:r>
        <w:rPr>
          <w:color w:val="FFFFFF"/>
        </w:rPr>
        <w:t xml:space="preserve">, </w:t>
      </w:r>
      <w:r>
        <w:rPr>
          <w:i/>
          <w:color w:val="FFFFFF"/>
        </w:rPr>
        <w:t>akademinės bendruomenės atstovė;</w:t>
      </w:r>
      <w:r>
        <w:rPr>
          <w:color w:val="FFFFFF"/>
        </w:rPr>
        <w:t xml:space="preserve"> </w:t>
      </w:r>
    </w:p>
    <w:p w:rsidR="006B3C19" w:rsidRDefault="00B76502">
      <w:pPr>
        <w:numPr>
          <w:ilvl w:val="0"/>
          <w:numId w:val="2"/>
        </w:numPr>
        <w:pBdr>
          <w:top w:val="single" w:sz="4" w:space="0" w:color="000000"/>
          <w:left w:val="single" w:sz="4" w:space="0" w:color="000000"/>
          <w:bottom w:val="single" w:sz="4" w:space="0" w:color="000000"/>
          <w:right w:val="single" w:sz="4" w:space="0" w:color="000000"/>
        </w:pBdr>
        <w:shd w:val="clear" w:color="auto" w:fill="85A5A4"/>
        <w:spacing w:after="147" w:line="259" w:lineRule="auto"/>
        <w:ind w:left="345" w:hanging="360"/>
        <w:jc w:val="left"/>
      </w:pPr>
      <w:r>
        <w:rPr>
          <w:b/>
          <w:color w:val="FFFFFF"/>
        </w:rPr>
        <w:t>Arūnas Leipus</w:t>
      </w:r>
      <w:r>
        <w:rPr>
          <w:color w:val="FFFFFF"/>
        </w:rPr>
        <w:t>,</w:t>
      </w:r>
      <w:r>
        <w:rPr>
          <w:i/>
          <w:color w:val="FFFFFF"/>
        </w:rPr>
        <w:t xml:space="preserve"> darbdavių atstovas; </w:t>
      </w:r>
      <w:r>
        <w:rPr>
          <w:color w:val="FFFFFF"/>
        </w:rPr>
        <w:t xml:space="preserve"> </w:t>
      </w:r>
    </w:p>
    <w:p w:rsidR="006B3C19" w:rsidRDefault="00B76502">
      <w:pPr>
        <w:numPr>
          <w:ilvl w:val="0"/>
          <w:numId w:val="2"/>
        </w:numPr>
        <w:pBdr>
          <w:top w:val="single" w:sz="4" w:space="0" w:color="000000"/>
          <w:left w:val="single" w:sz="4" w:space="0" w:color="000000"/>
          <w:bottom w:val="single" w:sz="4" w:space="0" w:color="000000"/>
          <w:right w:val="single" w:sz="4" w:space="0" w:color="000000"/>
        </w:pBdr>
        <w:shd w:val="clear" w:color="auto" w:fill="85A5A4"/>
        <w:spacing w:after="0" w:line="259" w:lineRule="auto"/>
        <w:ind w:left="345" w:hanging="360"/>
        <w:jc w:val="left"/>
      </w:pPr>
      <w:r>
        <w:rPr>
          <w:b/>
          <w:color w:val="FFFFFF"/>
        </w:rPr>
        <w:t>Dr. Marcel Tarbier</w:t>
      </w:r>
      <w:r>
        <w:rPr>
          <w:color w:val="FFFFFF"/>
        </w:rPr>
        <w:t xml:space="preserve">, </w:t>
      </w:r>
      <w:r>
        <w:rPr>
          <w:i/>
          <w:color w:val="FFFFFF"/>
        </w:rPr>
        <w:t>studentų atstovas</w:t>
      </w:r>
      <w:r>
        <w:rPr>
          <w:color w:val="FFFFFF"/>
        </w:rPr>
        <w:t xml:space="preserve">. </w:t>
      </w:r>
    </w:p>
    <w:p w:rsidR="006B3C19" w:rsidRDefault="00B76502">
      <w:pPr>
        <w:pBdr>
          <w:top w:val="single" w:sz="4" w:space="0" w:color="000000"/>
          <w:left w:val="single" w:sz="4" w:space="0" w:color="000000"/>
          <w:bottom w:val="single" w:sz="4" w:space="0" w:color="000000"/>
          <w:right w:val="single" w:sz="4" w:space="0" w:color="000000"/>
        </w:pBdr>
        <w:shd w:val="clear" w:color="auto" w:fill="85A5A4"/>
        <w:spacing w:after="178" w:line="259" w:lineRule="auto"/>
        <w:ind w:left="-15" w:firstLine="0"/>
        <w:jc w:val="left"/>
      </w:pPr>
      <w:r>
        <w:rPr>
          <w:color w:val="FFFFFF"/>
          <w:sz w:val="12"/>
        </w:rPr>
        <w:t xml:space="preserve"> </w:t>
      </w:r>
    </w:p>
    <w:p w:rsidR="006B3C19" w:rsidRDefault="00B76502">
      <w:pPr>
        <w:pBdr>
          <w:top w:val="single" w:sz="4" w:space="0" w:color="000000"/>
          <w:left w:val="single" w:sz="4" w:space="0" w:color="000000"/>
          <w:bottom w:val="single" w:sz="4" w:space="0" w:color="000000"/>
          <w:right w:val="single" w:sz="4" w:space="0" w:color="000000"/>
        </w:pBdr>
        <w:shd w:val="clear" w:color="auto" w:fill="85A5A4"/>
        <w:spacing w:after="107" w:line="259" w:lineRule="auto"/>
        <w:ind w:left="-15" w:firstLine="0"/>
        <w:jc w:val="left"/>
      </w:pPr>
      <w:r>
        <w:rPr>
          <w:color w:val="FFFFFF"/>
        </w:rPr>
        <w:t xml:space="preserve">Vertinimo koordinatorė – </w:t>
      </w:r>
      <w:r>
        <w:rPr>
          <w:i/>
          <w:color w:val="FFFFFF"/>
        </w:rPr>
        <w:t>Natalija Bogdanova</w:t>
      </w:r>
      <w:r>
        <w:rPr>
          <w:rFonts w:ascii="Calibri" w:eastAsia="Calibri" w:hAnsi="Calibri" w:cs="Calibri"/>
          <w:i/>
          <w:color w:val="FFFFFF"/>
        </w:rPr>
        <w:t xml:space="preserve"> </w:t>
      </w:r>
      <w:r>
        <w:rPr>
          <w:rFonts w:ascii="Calibri" w:eastAsia="Calibri" w:hAnsi="Calibri" w:cs="Calibri"/>
          <w:sz w:val="22"/>
        </w:rPr>
        <w:t xml:space="preserve"> </w:t>
      </w:r>
    </w:p>
    <w:p w:rsidR="006B3C19" w:rsidRDefault="00B76502">
      <w:pPr>
        <w:spacing w:after="0" w:line="259" w:lineRule="auto"/>
        <w:ind w:left="158" w:firstLine="0"/>
        <w:jc w:val="left"/>
      </w:pPr>
      <w:r>
        <w:rPr>
          <w:sz w:val="22"/>
        </w:rPr>
        <w:t xml:space="preserve"> </w:t>
      </w:r>
    </w:p>
    <w:p w:rsidR="006B3C19" w:rsidRDefault="00B76502">
      <w:pPr>
        <w:spacing w:after="0" w:line="259" w:lineRule="auto"/>
        <w:ind w:left="158" w:firstLine="0"/>
        <w:jc w:val="left"/>
      </w:pPr>
      <w:r>
        <w:rPr>
          <w:color w:val="136C73"/>
        </w:rPr>
        <w:t xml:space="preserve"> </w:t>
      </w:r>
    </w:p>
    <w:p w:rsidR="006B3C19" w:rsidRDefault="00B76502">
      <w:pPr>
        <w:spacing w:after="0" w:line="259" w:lineRule="auto"/>
        <w:ind w:left="153"/>
        <w:jc w:val="left"/>
      </w:pPr>
      <w:r>
        <w:rPr>
          <w:color w:val="136C73"/>
        </w:rPr>
        <w:t xml:space="preserve">Išvados parengtos anglų kalba  Vertimą į lietuvių kalbą atliko UAB „Pasaulio spalvos“  </w:t>
      </w:r>
    </w:p>
    <w:p w:rsidR="006B3C19" w:rsidRDefault="00B76502">
      <w:pPr>
        <w:spacing w:after="0" w:line="259" w:lineRule="auto"/>
        <w:ind w:left="158" w:firstLine="0"/>
        <w:jc w:val="left"/>
      </w:pPr>
      <w:r>
        <w:rPr>
          <w:rFonts w:ascii="Calibri" w:eastAsia="Calibri" w:hAnsi="Calibri" w:cs="Calibri"/>
          <w:sz w:val="22"/>
        </w:rPr>
        <w:t xml:space="preserve"> </w:t>
      </w:r>
    </w:p>
    <w:p w:rsidR="006B3C19" w:rsidRDefault="00B76502">
      <w:pPr>
        <w:pStyle w:val="Antrat2"/>
        <w:spacing w:after="174"/>
        <w:ind w:left="153" w:right="0"/>
        <w:jc w:val="left"/>
      </w:pPr>
      <w:r>
        <w:rPr>
          <w:b w:val="0"/>
        </w:rPr>
        <w:t xml:space="preserve">© Studijų kokybės vertinimo centras </w:t>
      </w:r>
    </w:p>
    <w:p w:rsidR="006B3C19" w:rsidRDefault="00B76502">
      <w:pPr>
        <w:spacing w:after="0" w:line="259" w:lineRule="auto"/>
        <w:ind w:left="161" w:firstLine="0"/>
        <w:jc w:val="center"/>
      </w:pPr>
      <w:r>
        <w:rPr>
          <w:color w:val="136C73"/>
        </w:rPr>
        <w:t xml:space="preserve"> </w:t>
      </w:r>
    </w:p>
    <w:p w:rsidR="006B3C19" w:rsidRDefault="00B76502">
      <w:pPr>
        <w:spacing w:after="3" w:line="259" w:lineRule="auto"/>
        <w:ind w:left="117" w:right="2"/>
        <w:jc w:val="center"/>
      </w:pPr>
      <w:r>
        <w:rPr>
          <w:color w:val="136C73"/>
        </w:rPr>
        <w:t xml:space="preserve">Vilnius </w:t>
      </w:r>
    </w:p>
    <w:p w:rsidR="006B3C19" w:rsidRDefault="00B76502">
      <w:pPr>
        <w:spacing w:after="3" w:line="259" w:lineRule="auto"/>
        <w:ind w:left="117"/>
        <w:jc w:val="center"/>
      </w:pPr>
      <w:r>
        <w:rPr>
          <w:color w:val="136C73"/>
        </w:rPr>
        <w:t xml:space="preserve">2022 </w:t>
      </w:r>
    </w:p>
    <w:p w:rsidR="006B3C19" w:rsidRDefault="00B76502">
      <w:pPr>
        <w:pStyle w:val="Antrat2"/>
        <w:spacing w:after="0"/>
        <w:ind w:right="3137"/>
        <w:jc w:val="right"/>
      </w:pPr>
      <w:r>
        <w:rPr>
          <w:sz w:val="28"/>
        </w:rPr>
        <w:t xml:space="preserve">Studijų krypties duomenys </w:t>
      </w:r>
    </w:p>
    <w:tbl>
      <w:tblPr>
        <w:tblStyle w:val="TableGrid"/>
        <w:tblW w:w="9329" w:type="dxa"/>
        <w:tblInd w:w="44" w:type="dxa"/>
        <w:tblCellMar>
          <w:top w:w="44" w:type="dxa"/>
          <w:left w:w="114" w:type="dxa"/>
          <w:bottom w:w="0" w:type="dxa"/>
          <w:right w:w="115" w:type="dxa"/>
        </w:tblCellMar>
        <w:tblLook w:val="04A0" w:firstRow="1" w:lastRow="0" w:firstColumn="1" w:lastColumn="0" w:noHBand="0" w:noVBand="1"/>
      </w:tblPr>
      <w:tblGrid>
        <w:gridCol w:w="5212"/>
        <w:gridCol w:w="4117"/>
      </w:tblGrid>
      <w:tr w:rsidR="006B3C19">
        <w:trPr>
          <w:trHeight w:val="518"/>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Studijų programos pavadinimas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rPr>
                <w:b/>
              </w:rPr>
              <w:t>Biologija ir jūros biotechnologija</w:t>
            </w:r>
            <w:r>
              <w:rPr>
                <w:b/>
                <w:i/>
              </w:rPr>
              <w:t xml:space="preserve"> </w:t>
            </w:r>
          </w:p>
        </w:tc>
      </w:tr>
      <w:tr w:rsidR="006B3C19">
        <w:trPr>
          <w:trHeight w:val="518"/>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Valstybinis kodas</w:t>
            </w:r>
            <w:r>
              <w:rPr>
                <w:color w:val="136C73"/>
              </w:rPr>
              <w:t xml:space="preserve">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6121DX014 </w:t>
            </w:r>
          </w:p>
        </w:tc>
      </w:tr>
      <w:tr w:rsidR="006B3C19">
        <w:trPr>
          <w:trHeight w:val="523"/>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Studijų programos rūšis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Universitetinė </w:t>
            </w:r>
          </w:p>
        </w:tc>
      </w:tr>
      <w:tr w:rsidR="006B3C19">
        <w:trPr>
          <w:trHeight w:val="518"/>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Studijų pakopa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Pirmoji </w:t>
            </w:r>
          </w:p>
        </w:tc>
      </w:tr>
      <w:tr w:rsidR="006B3C19">
        <w:trPr>
          <w:trHeight w:val="519"/>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Studijų forma (trukmė metais)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Nuolatinė, 3 metai </w:t>
            </w:r>
          </w:p>
        </w:tc>
      </w:tr>
      <w:tr w:rsidR="006B3C19">
        <w:trPr>
          <w:trHeight w:val="523"/>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Studijų programos apimtis kreditais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180 ECTS </w:t>
            </w:r>
          </w:p>
        </w:tc>
      </w:tr>
      <w:tr w:rsidR="006B3C19">
        <w:trPr>
          <w:trHeight w:val="571"/>
        </w:trPr>
        <w:tc>
          <w:tcPr>
            <w:tcW w:w="5212" w:type="dxa"/>
            <w:tcBorders>
              <w:top w:val="single" w:sz="4" w:space="0" w:color="000000"/>
              <w:left w:val="single" w:sz="4" w:space="0" w:color="000000"/>
              <w:bottom w:val="single" w:sz="4" w:space="0" w:color="000000"/>
              <w:right w:val="single" w:sz="4" w:space="0" w:color="000000"/>
            </w:tcBorders>
            <w:shd w:val="clear" w:color="auto" w:fill="EEECE1"/>
          </w:tcPr>
          <w:p w:rsidR="006B3C19" w:rsidRDefault="00B76502">
            <w:pPr>
              <w:spacing w:after="0" w:line="259" w:lineRule="auto"/>
              <w:ind w:left="0" w:firstLine="0"/>
              <w:jc w:val="left"/>
            </w:pPr>
            <w:r>
              <w:rPr>
                <w:color w:val="136C73"/>
              </w:rPr>
              <w:t xml:space="preserve">Suteikiamas laipsnis ir (ar) profesinė kvalifikacija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Gyvybės mokslų bakalauras </w:t>
            </w:r>
          </w:p>
        </w:tc>
      </w:tr>
      <w:tr w:rsidR="006B3C19">
        <w:trPr>
          <w:trHeight w:val="519"/>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Studijų vykdymo kalba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Lietuvių  </w:t>
            </w:r>
          </w:p>
        </w:tc>
      </w:tr>
      <w:tr w:rsidR="006B3C19">
        <w:trPr>
          <w:trHeight w:val="523"/>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Reikalavimai stojantiesiems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Vidurinis  </w:t>
            </w:r>
          </w:p>
        </w:tc>
      </w:tr>
      <w:tr w:rsidR="006B3C19">
        <w:trPr>
          <w:trHeight w:val="517"/>
        </w:trPr>
        <w:tc>
          <w:tcPr>
            <w:tcW w:w="521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lastRenderedPageBreak/>
              <w:t xml:space="preserve">Studijų programos įregistravimo data </w:t>
            </w:r>
          </w:p>
        </w:tc>
        <w:tc>
          <w:tcPr>
            <w:tcW w:w="411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firstLine="0"/>
              <w:jc w:val="left"/>
            </w:pPr>
            <w:r>
              <w:t xml:space="preserve">1997-05-19 </w:t>
            </w:r>
          </w:p>
        </w:tc>
      </w:tr>
    </w:tbl>
    <w:p w:rsidR="006B3C19" w:rsidRDefault="00B76502">
      <w:pPr>
        <w:spacing w:after="138" w:line="259" w:lineRule="auto"/>
        <w:ind w:left="158" w:firstLine="0"/>
        <w:jc w:val="left"/>
      </w:pPr>
      <w:r>
        <w:rPr>
          <w:color w:val="136C73"/>
          <w:sz w:val="32"/>
        </w:rPr>
        <w:t xml:space="preserve"> </w:t>
      </w:r>
    </w:p>
    <w:p w:rsidR="006B3C19" w:rsidRDefault="00B76502">
      <w:pPr>
        <w:spacing w:after="0" w:line="259" w:lineRule="auto"/>
        <w:ind w:left="168"/>
        <w:jc w:val="left"/>
      </w:pPr>
      <w:r>
        <w:rPr>
          <w:rFonts w:ascii="Calibri" w:eastAsia="Calibri" w:hAnsi="Calibri" w:cs="Calibri"/>
          <w:sz w:val="22"/>
        </w:rPr>
        <w:t xml:space="preserve">&lt;...&gt; </w:t>
      </w:r>
    </w:p>
    <w:p w:rsidR="006B3C19" w:rsidRDefault="00B76502">
      <w:pPr>
        <w:spacing w:after="197" w:line="276" w:lineRule="auto"/>
        <w:ind w:left="158" w:right="2773" w:firstLine="2761"/>
        <w:jc w:val="left"/>
      </w:pPr>
      <w:r>
        <w:rPr>
          <w:b/>
          <w:color w:val="136C73"/>
        </w:rPr>
        <w:t xml:space="preserve">II. APIBENDRINAMASIS ĮVERTINIMAS </w:t>
      </w:r>
      <w:r>
        <w:rPr>
          <w:i/>
        </w:rPr>
        <w:t xml:space="preserve"> </w:t>
      </w:r>
    </w:p>
    <w:p w:rsidR="006B3C19" w:rsidRDefault="00B76502">
      <w:pPr>
        <w:ind w:left="153" w:right="48"/>
      </w:pPr>
      <w:r>
        <w:t xml:space="preserve">Pirmosios pakopos biologijos krypties studijos Klaipėdos universitete vertinamos </w:t>
      </w:r>
      <w:r>
        <w:rPr>
          <w:b/>
        </w:rPr>
        <w:t>teigiamai</w:t>
      </w:r>
      <w:r>
        <w:t xml:space="preserve">.  </w:t>
      </w:r>
    </w:p>
    <w:p w:rsidR="006B3C19" w:rsidRDefault="00B76502">
      <w:pPr>
        <w:spacing w:after="0"/>
        <w:ind w:left="153" w:right="48"/>
      </w:pPr>
      <w:r>
        <w:t>Studijų krypties ir pakopos įvertinimas pagal vertinamąsias sritis</w:t>
      </w:r>
      <w:r>
        <w:rPr>
          <w:sz w:val="28"/>
        </w:rPr>
        <w:t xml:space="preserve"> </w:t>
      </w:r>
    </w:p>
    <w:tbl>
      <w:tblPr>
        <w:tblStyle w:val="TableGrid"/>
        <w:tblW w:w="9753" w:type="dxa"/>
        <w:tblInd w:w="43" w:type="dxa"/>
        <w:tblCellMar>
          <w:top w:w="44" w:type="dxa"/>
          <w:left w:w="0" w:type="dxa"/>
          <w:bottom w:w="0" w:type="dxa"/>
          <w:right w:w="63" w:type="dxa"/>
        </w:tblCellMar>
        <w:tblLook w:val="04A0" w:firstRow="1" w:lastRow="0" w:firstColumn="1" w:lastColumn="0" w:noHBand="0" w:noVBand="1"/>
      </w:tblPr>
      <w:tblGrid>
        <w:gridCol w:w="677"/>
        <w:gridCol w:w="6401"/>
        <w:gridCol w:w="831"/>
        <w:gridCol w:w="1844"/>
      </w:tblGrid>
      <w:tr w:rsidR="006B3C19">
        <w:trPr>
          <w:trHeight w:val="854"/>
        </w:trPr>
        <w:tc>
          <w:tcPr>
            <w:tcW w:w="677"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158" w:firstLine="0"/>
              <w:jc w:val="left"/>
            </w:pPr>
            <w:r>
              <w:rPr>
                <w:b/>
                <w:color w:val="136C73"/>
              </w:rPr>
              <w:t xml:space="preserve">No. </w:t>
            </w:r>
          </w:p>
        </w:tc>
        <w:tc>
          <w:tcPr>
            <w:tcW w:w="6401" w:type="dxa"/>
            <w:tcBorders>
              <w:top w:val="single" w:sz="4" w:space="0" w:color="000000"/>
              <w:left w:val="single" w:sz="4" w:space="0" w:color="000000"/>
              <w:bottom w:val="single" w:sz="4" w:space="0" w:color="000000"/>
              <w:right w:val="nil"/>
            </w:tcBorders>
            <w:vAlign w:val="center"/>
          </w:tcPr>
          <w:p w:rsidR="006B3C19" w:rsidRDefault="00B76502">
            <w:pPr>
              <w:spacing w:after="0" w:line="259" w:lineRule="auto"/>
              <w:ind w:left="890" w:firstLine="0"/>
              <w:jc w:val="center"/>
            </w:pPr>
            <w:r>
              <w:rPr>
                <w:b/>
                <w:color w:val="136C73"/>
              </w:rPr>
              <w:t xml:space="preserve">Evaluation Area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0" w:firstLine="0"/>
              <w:jc w:val="center"/>
            </w:pPr>
            <w:r>
              <w:rPr>
                <w:b/>
                <w:color w:val="136C73"/>
              </w:rPr>
              <w:t xml:space="preserve">Evaluation of an Area in points*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1.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Studijų tikslai, rezultatai ir turinys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 </w:t>
            </w:r>
          </w:p>
        </w:tc>
      </w:tr>
      <w:tr w:rsidR="006B3C19">
        <w:trPr>
          <w:trHeight w:val="404"/>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2.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Mokslo (meno) ir studijų veiklos sąsajos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5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3.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Studentų priėmimas ir parama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rPr>
                <w:strike/>
              </w:rPr>
              <w:t>4</w:t>
            </w:r>
            <w:r>
              <w:t xml:space="preserve">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4.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Studijavimas, studijų pasiekimais ir absolventų užimtumas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3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5.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Dėstytojai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 </w:t>
            </w:r>
          </w:p>
        </w:tc>
      </w:tr>
      <w:tr w:rsidR="006B3C19">
        <w:trPr>
          <w:trHeight w:val="409"/>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6.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Studijų materialieji ištekliai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4 </w:t>
            </w:r>
          </w:p>
        </w:tc>
      </w:tr>
      <w:tr w:rsidR="006B3C19">
        <w:trPr>
          <w:trHeight w:val="403"/>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59" w:firstLine="0"/>
              <w:jc w:val="center"/>
            </w:pPr>
            <w:r>
              <w:t xml:space="preserve">7. </w:t>
            </w:r>
          </w:p>
        </w:tc>
        <w:tc>
          <w:tcPr>
            <w:tcW w:w="6401" w:type="dxa"/>
            <w:tcBorders>
              <w:top w:val="single" w:sz="4" w:space="0" w:color="000000"/>
              <w:left w:val="single" w:sz="4" w:space="0" w:color="000000"/>
              <w:bottom w:val="single" w:sz="4" w:space="0" w:color="000000"/>
              <w:right w:val="nil"/>
            </w:tcBorders>
          </w:tcPr>
          <w:p w:rsidR="006B3C19" w:rsidRDefault="00B76502">
            <w:pPr>
              <w:spacing w:after="0" w:line="259" w:lineRule="auto"/>
              <w:ind w:left="115" w:firstLine="0"/>
              <w:jc w:val="left"/>
            </w:pPr>
            <w:r>
              <w:t xml:space="preserve">Studijų kokybės valdymas ir viešinimas </w:t>
            </w:r>
          </w:p>
        </w:tc>
        <w:tc>
          <w:tcPr>
            <w:tcW w:w="831" w:type="dxa"/>
            <w:tcBorders>
              <w:top w:val="single" w:sz="4" w:space="0" w:color="000000"/>
              <w:left w:val="nil"/>
              <w:bottom w:val="single" w:sz="4" w:space="0" w:color="000000"/>
              <w:right w:val="single" w:sz="4" w:space="0" w:color="000000"/>
            </w:tcBorders>
          </w:tcPr>
          <w:p w:rsidR="006B3C19" w:rsidRDefault="006B3C19">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 </w:t>
            </w:r>
          </w:p>
        </w:tc>
      </w:tr>
      <w:tr w:rsidR="006B3C19">
        <w:trPr>
          <w:trHeight w:val="408"/>
        </w:trPr>
        <w:tc>
          <w:tcPr>
            <w:tcW w:w="677"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111" w:firstLine="0"/>
              <w:jc w:val="center"/>
            </w:pPr>
            <w:r>
              <w:t xml:space="preserve"> </w:t>
            </w:r>
          </w:p>
        </w:tc>
        <w:tc>
          <w:tcPr>
            <w:tcW w:w="6401" w:type="dxa"/>
            <w:tcBorders>
              <w:top w:val="single" w:sz="4" w:space="0" w:color="000000"/>
              <w:left w:val="single" w:sz="4" w:space="0" w:color="000000"/>
              <w:bottom w:val="single" w:sz="4" w:space="0" w:color="000000"/>
              <w:right w:val="nil"/>
            </w:tcBorders>
          </w:tcPr>
          <w:p w:rsidR="006B3C19" w:rsidRDefault="006B3C19">
            <w:pPr>
              <w:spacing w:after="160" w:line="259" w:lineRule="auto"/>
              <w:ind w:left="0" w:firstLine="0"/>
              <w:jc w:val="left"/>
            </w:pPr>
          </w:p>
        </w:tc>
        <w:tc>
          <w:tcPr>
            <w:tcW w:w="831" w:type="dxa"/>
            <w:tcBorders>
              <w:top w:val="single" w:sz="4" w:space="0" w:color="000000"/>
              <w:left w:val="nil"/>
              <w:bottom w:val="single" w:sz="4" w:space="0" w:color="000000"/>
              <w:right w:val="single" w:sz="4" w:space="0" w:color="000000"/>
            </w:tcBorders>
          </w:tcPr>
          <w:p w:rsidR="006B3C19" w:rsidRDefault="00B76502">
            <w:pPr>
              <w:spacing w:after="0" w:line="259" w:lineRule="auto"/>
              <w:ind w:left="0" w:firstLine="0"/>
            </w:pPr>
            <w:r>
              <w:t xml:space="preserve">Iš viso: </w:t>
            </w:r>
          </w:p>
        </w:tc>
        <w:tc>
          <w:tcPr>
            <w:tcW w:w="1844"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61" w:firstLine="0"/>
              <w:jc w:val="center"/>
            </w:pPr>
            <w:r>
              <w:t xml:space="preserve">22 </w:t>
            </w:r>
          </w:p>
        </w:tc>
      </w:tr>
    </w:tbl>
    <w:p w:rsidR="006B3C19" w:rsidRDefault="00B76502">
      <w:pPr>
        <w:spacing w:after="5" w:line="248" w:lineRule="auto"/>
        <w:ind w:left="153"/>
        <w:jc w:val="left"/>
      </w:pPr>
      <w:r>
        <w:rPr>
          <w:sz w:val="20"/>
        </w:rPr>
        <w:t xml:space="preserve">1-Nepatenkinamai (sritis netenkina minimalių reikalavimų, yra esminių trūkumų, dėl kurių krypties studijos negali būti vykdomos)  </w:t>
      </w:r>
    </w:p>
    <w:p w:rsidR="006B3C19" w:rsidRDefault="00B76502">
      <w:pPr>
        <w:spacing w:after="5" w:line="248" w:lineRule="auto"/>
        <w:ind w:left="153"/>
        <w:jc w:val="left"/>
      </w:pPr>
      <w:r>
        <w:rPr>
          <w:sz w:val="20"/>
        </w:rPr>
        <w:t>2-</w:t>
      </w:r>
      <w:r>
        <w:rPr>
          <w:sz w:val="20"/>
        </w:rPr>
        <w:t xml:space="preserve">Patenkinamai (sritis tenkina minimalius reikalavimus, yra esminių trūkumų, kuriuos būtina pašalinti)  </w:t>
      </w:r>
    </w:p>
    <w:p w:rsidR="006B3C19" w:rsidRDefault="00B76502">
      <w:pPr>
        <w:spacing w:after="5" w:line="248" w:lineRule="auto"/>
        <w:ind w:left="153"/>
        <w:jc w:val="left"/>
      </w:pPr>
      <w:r>
        <w:rPr>
          <w:sz w:val="20"/>
        </w:rPr>
        <w:t xml:space="preserve">3-Gerai (sritis plėtojama sistemiškai, be esminių trūkumų)  </w:t>
      </w:r>
    </w:p>
    <w:p w:rsidR="006B3C19" w:rsidRDefault="00B76502">
      <w:pPr>
        <w:spacing w:after="5" w:line="248" w:lineRule="auto"/>
        <w:ind w:left="153"/>
        <w:jc w:val="left"/>
      </w:pPr>
      <w:r>
        <w:rPr>
          <w:sz w:val="20"/>
        </w:rPr>
        <w:t>4-Labai gerai (sritis vertinama labai gerai nacionaliniame kontekste ir tarptautinėje erdvėj</w:t>
      </w:r>
      <w:r>
        <w:rPr>
          <w:sz w:val="20"/>
        </w:rPr>
        <w:t xml:space="preserve">e, be jokių trūkumų)  </w:t>
      </w:r>
    </w:p>
    <w:p w:rsidR="006B3C19" w:rsidRDefault="00B76502">
      <w:pPr>
        <w:spacing w:after="5" w:line="248" w:lineRule="auto"/>
        <w:ind w:left="153"/>
        <w:jc w:val="left"/>
      </w:pPr>
      <w:r>
        <w:rPr>
          <w:sz w:val="20"/>
        </w:rPr>
        <w:t>5-Išskirtinės kokybės (sritis vertinama išskirtinai gerai nacionaliniame kontekste ir tarptautinėje erdvėje)</w:t>
      </w:r>
      <w:r>
        <w:rPr>
          <w:sz w:val="22"/>
        </w:rPr>
        <w:t xml:space="preserve"> </w:t>
      </w:r>
    </w:p>
    <w:p w:rsidR="006B3C19" w:rsidRDefault="00B76502">
      <w:pPr>
        <w:spacing w:after="20"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22" w:line="259" w:lineRule="auto"/>
        <w:ind w:left="158" w:firstLine="0"/>
        <w:jc w:val="left"/>
      </w:pPr>
      <w:r>
        <w:rPr>
          <w:rFonts w:ascii="Calibri" w:eastAsia="Calibri" w:hAnsi="Calibri" w:cs="Calibri"/>
        </w:rPr>
        <w:t xml:space="preserve">&lt;...&gt; </w:t>
      </w:r>
    </w:p>
    <w:p w:rsidR="006B3C19" w:rsidRDefault="00B76502">
      <w:pPr>
        <w:spacing w:after="16" w:line="259" w:lineRule="auto"/>
        <w:ind w:left="161" w:firstLine="0"/>
        <w:jc w:val="center"/>
      </w:pPr>
      <w:r>
        <w:rPr>
          <w:b/>
          <w:color w:val="136C73"/>
        </w:rPr>
        <w:t xml:space="preserve"> </w:t>
      </w:r>
    </w:p>
    <w:p w:rsidR="006B3C19" w:rsidRDefault="00B76502">
      <w:pPr>
        <w:spacing w:after="20"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0"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0"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0"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1"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lastRenderedPageBreak/>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0" w:line="259" w:lineRule="auto"/>
        <w:ind w:left="161" w:firstLine="0"/>
        <w:jc w:val="center"/>
      </w:pPr>
      <w:r>
        <w:rPr>
          <w:b/>
          <w:color w:val="136C73"/>
        </w:rPr>
        <w:t xml:space="preserve"> </w:t>
      </w:r>
    </w:p>
    <w:p w:rsidR="006B3C19" w:rsidRDefault="00B76502">
      <w:pPr>
        <w:spacing w:after="16" w:line="259" w:lineRule="auto"/>
        <w:ind w:left="161" w:firstLine="0"/>
        <w:jc w:val="center"/>
      </w:pPr>
      <w:r>
        <w:rPr>
          <w:b/>
          <w:color w:val="136C73"/>
        </w:rPr>
        <w:t xml:space="preserve"> </w:t>
      </w:r>
    </w:p>
    <w:p w:rsidR="006B3C19" w:rsidRDefault="00B76502">
      <w:pPr>
        <w:spacing w:after="21" w:line="259" w:lineRule="auto"/>
        <w:ind w:left="161" w:firstLine="0"/>
        <w:jc w:val="center"/>
      </w:pPr>
      <w:r>
        <w:rPr>
          <w:b/>
          <w:color w:val="136C73"/>
        </w:rPr>
        <w:t xml:space="preserve"> </w:t>
      </w:r>
    </w:p>
    <w:p w:rsidR="006B3C19" w:rsidRDefault="00B76502">
      <w:pPr>
        <w:spacing w:after="0" w:line="259" w:lineRule="auto"/>
        <w:ind w:left="161" w:firstLine="0"/>
        <w:jc w:val="center"/>
      </w:pPr>
      <w:r>
        <w:rPr>
          <w:b/>
          <w:color w:val="136C73"/>
        </w:rPr>
        <w:t xml:space="preserve"> </w:t>
      </w:r>
    </w:p>
    <w:p w:rsidR="006B3C19" w:rsidRDefault="00B76502">
      <w:pPr>
        <w:pStyle w:val="Antrat3"/>
        <w:spacing w:after="217"/>
        <w:ind w:left="119" w:right="7"/>
      </w:pPr>
      <w:r>
        <w:t xml:space="preserve">IV. IŠSKIRTINĖS KOKYBĖS PAVYZDŽIAI </w:t>
      </w:r>
    </w:p>
    <w:p w:rsidR="006B3C19" w:rsidRDefault="00B76502">
      <w:pPr>
        <w:spacing w:after="20" w:line="259" w:lineRule="auto"/>
        <w:ind w:left="879" w:firstLine="0"/>
        <w:jc w:val="left"/>
      </w:pPr>
      <w:r>
        <w:rPr>
          <w:i/>
        </w:rPr>
        <w:t xml:space="preserve"> </w:t>
      </w:r>
    </w:p>
    <w:p w:rsidR="006B3C19" w:rsidRDefault="00B76502">
      <w:pPr>
        <w:spacing w:after="207"/>
        <w:ind w:left="153" w:right="48"/>
      </w:pPr>
      <w:r>
        <w:t xml:space="preserve">Studentų įtraukimo į mokslinius tyrimus nuo pat pirmųjų studijų metų lygis yra išskirtinis. Jie yra integruota mokslinių tyrimų grupių dalis. </w:t>
      </w:r>
    </w:p>
    <w:p w:rsidR="006B3C19" w:rsidRDefault="00B76502">
      <w:pPr>
        <w:spacing w:after="217" w:line="259" w:lineRule="auto"/>
        <w:ind w:left="158" w:firstLine="0"/>
        <w:jc w:val="left"/>
      </w:pPr>
      <w:r>
        <w:t xml:space="preserve"> </w:t>
      </w:r>
    </w:p>
    <w:p w:rsidR="006B3C19" w:rsidRDefault="00B76502">
      <w:pPr>
        <w:pStyle w:val="Antrat3"/>
        <w:ind w:left="119" w:right="0"/>
      </w:pPr>
      <w:r>
        <w:t xml:space="preserve">V. REKOMENDACIJOS </w:t>
      </w:r>
    </w:p>
    <w:p w:rsidR="006B3C19" w:rsidRDefault="00B76502">
      <w:pPr>
        <w:spacing w:after="0" w:line="259" w:lineRule="auto"/>
        <w:ind w:left="519" w:firstLine="0"/>
        <w:jc w:val="left"/>
      </w:pPr>
      <w:r>
        <w:t xml:space="preserve"> </w:t>
      </w:r>
    </w:p>
    <w:tbl>
      <w:tblPr>
        <w:tblStyle w:val="TableGrid"/>
        <w:tblW w:w="9857" w:type="dxa"/>
        <w:tblInd w:w="44" w:type="dxa"/>
        <w:tblCellMar>
          <w:top w:w="42" w:type="dxa"/>
          <w:left w:w="106" w:type="dxa"/>
          <w:bottom w:w="0" w:type="dxa"/>
          <w:right w:w="52" w:type="dxa"/>
        </w:tblCellMar>
        <w:tblLook w:val="04A0" w:firstRow="1" w:lastRow="0" w:firstColumn="1" w:lastColumn="0" w:noHBand="0" w:noVBand="1"/>
      </w:tblPr>
      <w:tblGrid>
        <w:gridCol w:w="2687"/>
        <w:gridCol w:w="7170"/>
      </w:tblGrid>
      <w:tr w:rsidR="006B3C19">
        <w:trPr>
          <w:trHeight w:val="662"/>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right="62" w:firstLine="0"/>
              <w:jc w:val="center"/>
            </w:pPr>
            <w:r>
              <w:rPr>
                <w:b/>
                <w:color w:val="136C73"/>
              </w:rPr>
              <w:t xml:space="preserve">Vertinamoji sritis </w:t>
            </w:r>
          </w:p>
        </w:tc>
        <w:tc>
          <w:tcPr>
            <w:tcW w:w="717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right="44" w:firstLine="0"/>
              <w:jc w:val="center"/>
            </w:pPr>
            <w:r>
              <w:rPr>
                <w:b/>
                <w:color w:val="136C73"/>
              </w:rPr>
              <w:t xml:space="preserve">Rekomendacijos vertinamajai sričiai (studijų pakopai) </w:t>
            </w:r>
          </w:p>
        </w:tc>
      </w:tr>
      <w:tr w:rsidR="006B3C19">
        <w:trPr>
          <w:trHeight w:val="7279"/>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right="15" w:firstLine="0"/>
              <w:jc w:val="left"/>
            </w:pPr>
            <w:r>
              <w:rPr>
                <w:color w:val="136C73"/>
              </w:rPr>
              <w:t xml:space="preserve">Studijų tikslai, rezultatai ir turinys </w:t>
            </w: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235" w:line="276" w:lineRule="auto"/>
              <w:ind w:left="2" w:firstLine="0"/>
            </w:pPr>
            <w:r>
              <w:t xml:space="preserve">Didinti studentų informuotumą apie jų įsidarbinimo galimybes baigus aukštąją mokyklą. </w:t>
            </w:r>
          </w:p>
          <w:p w:rsidR="006B3C19" w:rsidRDefault="00B76502">
            <w:pPr>
              <w:spacing w:after="237" w:line="275" w:lineRule="auto"/>
              <w:ind w:left="2" w:right="56" w:firstLine="0"/>
            </w:pPr>
            <w:r>
              <w:t>Pakeisti dažniausiai taikomus mokymo ir mokymosi metodus (tokius kaip tradicinės paskaitos ir literatūros analizė) kitais, šiuolaikiniais mokymo metodais (tai galėtų būti skaitmeninis mokymas, mokymasis bendradarbiaujant, „apverstoji“ klasė ir projektais g</w:t>
            </w:r>
            <w:r>
              <w:t xml:space="preserve">rindžiamas mokymasis). </w:t>
            </w:r>
          </w:p>
          <w:p w:rsidR="006B3C19" w:rsidRDefault="00B76502">
            <w:pPr>
              <w:spacing w:after="235" w:line="277" w:lineRule="auto"/>
              <w:ind w:left="2" w:firstLine="0"/>
            </w:pPr>
            <w:r>
              <w:t xml:space="preserve">Atnaujinti mokymo/mokymosi procesuose naudojamą literatūrą naujausiais leidiniais. </w:t>
            </w:r>
          </w:p>
          <w:p w:rsidR="006B3C19" w:rsidRDefault="00B76502">
            <w:pPr>
              <w:spacing w:after="238" w:line="274" w:lineRule="auto"/>
              <w:ind w:left="2" w:right="63" w:firstLine="0"/>
            </w:pPr>
            <w:r>
              <w:t xml:space="preserve">Atlikti </w:t>
            </w:r>
            <w:r>
              <w:t xml:space="preserve">studijų programos turinio pakeitimus (pvz., į privalomąją programos turinio dalį įtraukti evoliuciją), kadangi šiuo metu programa nepakankamai atspindi biologijos dalį. </w:t>
            </w:r>
          </w:p>
          <w:p w:rsidR="006B3C19" w:rsidRDefault="00B76502">
            <w:pPr>
              <w:spacing w:after="237" w:line="275" w:lineRule="auto"/>
              <w:ind w:left="2" w:right="60" w:firstLine="0"/>
            </w:pPr>
            <w:r>
              <w:t>Atnaujinti studijų rezultatų sąrašą, kad jis geriau aprėptų biotechnologijos dalį stud</w:t>
            </w:r>
            <w:r>
              <w:t xml:space="preserve">ijų programoje (t. y., papildyti sąrašą studijų rezultatais, kuriuose akcentuojamos būtent šios srities žinios).  </w:t>
            </w:r>
          </w:p>
          <w:p w:rsidR="006B3C19" w:rsidRDefault="00B76502">
            <w:pPr>
              <w:spacing w:after="0" w:line="259" w:lineRule="auto"/>
              <w:ind w:left="2" w:firstLine="0"/>
            </w:pPr>
            <w:r>
              <w:t xml:space="preserve">Būtų gerai persvarstyti programos pavadinimą, atsižvelgiant į jos tikslus, turinį ir rezultatus. </w:t>
            </w:r>
          </w:p>
        </w:tc>
      </w:tr>
      <w:tr w:rsidR="006B3C19">
        <w:trPr>
          <w:trHeight w:val="1142"/>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t xml:space="preserve">Mokslo (meno) ir studijų veiklos sąsajos </w:t>
            </w:r>
          </w:p>
        </w:tc>
        <w:tc>
          <w:tcPr>
            <w:tcW w:w="7171" w:type="dxa"/>
            <w:tcBorders>
              <w:top w:val="single" w:sz="4"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2" w:right="56" w:firstLine="0"/>
            </w:pPr>
            <w:r>
              <w:t xml:space="preserve">Padidėjus studentų skaičių, stebėti studentų integracijos į mokslinius tyrimus lygį, taip užtikrinant, kad jis išliktų stabiliai aukštas. </w:t>
            </w:r>
          </w:p>
        </w:tc>
      </w:tr>
      <w:tr w:rsidR="006B3C19">
        <w:trPr>
          <w:trHeight w:val="2030"/>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0" w:firstLine="0"/>
              <w:jc w:val="left"/>
            </w:pPr>
            <w:r>
              <w:rPr>
                <w:color w:val="136C73"/>
              </w:rPr>
              <w:lastRenderedPageBreak/>
              <w:t xml:space="preserve">Studentų priėmimas ir parama </w:t>
            </w: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208" w:line="274" w:lineRule="auto"/>
              <w:ind w:left="2" w:right="60" w:firstLine="0"/>
            </w:pPr>
            <w:r>
              <w:t>Galima būtų stebėti (ir prireikus spręsti) studentų, kuriems lietuvių kalba yra antroj</w:t>
            </w:r>
            <w:r>
              <w:t xml:space="preserve">i ar užsienio kalba, studijų pradžioje kilusias problemas. </w:t>
            </w:r>
          </w:p>
          <w:p w:rsidR="006B3C19" w:rsidRDefault="00B76502">
            <w:pPr>
              <w:spacing w:after="0" w:line="259" w:lineRule="auto"/>
              <w:ind w:left="2" w:firstLine="0"/>
              <w:jc w:val="left"/>
            </w:pPr>
            <w:r>
              <w:t xml:space="preserve">Studentai </w:t>
            </w:r>
            <w:r>
              <w:tab/>
              <w:t xml:space="preserve">turėtų būti labiau skatinami </w:t>
            </w:r>
            <w:r>
              <w:tab/>
              <w:t xml:space="preserve">dalyvauti mobilumo programose. </w:t>
            </w:r>
          </w:p>
        </w:tc>
      </w:tr>
      <w:tr w:rsidR="006B3C19">
        <w:trPr>
          <w:trHeight w:val="1703"/>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bottom"/>
          </w:tcPr>
          <w:p w:rsidR="006B3C19" w:rsidRDefault="006B3C19">
            <w:pPr>
              <w:spacing w:after="160" w:line="259" w:lineRule="auto"/>
              <w:ind w:left="0" w:firstLine="0"/>
              <w:jc w:val="left"/>
            </w:pP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197" w:line="276" w:lineRule="auto"/>
              <w:ind w:left="14" w:firstLine="0"/>
            </w:pPr>
            <w:r>
              <w:t xml:space="preserve">Studentų atstovavimas turėtų būti formalizuotas, skaidrus ir apie jį turėtų būti informuojami programoje studijuojantys studentai. </w:t>
            </w:r>
          </w:p>
          <w:p w:rsidR="006B3C19" w:rsidRDefault="00B76502">
            <w:pPr>
              <w:spacing w:after="0" w:line="259" w:lineRule="auto"/>
              <w:ind w:left="14" w:firstLine="0"/>
            </w:pPr>
            <w:r>
              <w:t xml:space="preserve">Padidinti studentų, kurie šią studijų programą pasirinko prioritetiniu numeriu, skaičių. </w:t>
            </w:r>
          </w:p>
        </w:tc>
      </w:tr>
      <w:tr w:rsidR="006B3C19">
        <w:trPr>
          <w:trHeight w:val="2811"/>
        </w:trPr>
        <w:tc>
          <w:tcPr>
            <w:tcW w:w="2687" w:type="dxa"/>
            <w:tcBorders>
              <w:top w:val="single" w:sz="4" w:space="0" w:color="000000"/>
              <w:left w:val="single" w:sz="4" w:space="0" w:color="000000"/>
              <w:bottom w:val="single" w:sz="44" w:space="0" w:color="EEECE1"/>
              <w:right w:val="single" w:sz="4" w:space="0" w:color="000000"/>
            </w:tcBorders>
            <w:shd w:val="clear" w:color="auto" w:fill="EEECE1"/>
            <w:vAlign w:val="center"/>
          </w:tcPr>
          <w:p w:rsidR="006B3C19" w:rsidRDefault="00B76502">
            <w:pPr>
              <w:spacing w:after="0" w:line="259" w:lineRule="auto"/>
              <w:ind w:left="8" w:right="10" w:firstLine="0"/>
              <w:jc w:val="left"/>
            </w:pPr>
            <w:r>
              <w:rPr>
                <w:color w:val="136C73"/>
              </w:rPr>
              <w:t xml:space="preserve">Studijavimas, studijų pasiekimai ir absolventų užimtumas </w:t>
            </w:r>
          </w:p>
        </w:tc>
        <w:tc>
          <w:tcPr>
            <w:tcW w:w="7171" w:type="dxa"/>
            <w:tcBorders>
              <w:top w:val="single" w:sz="4" w:space="0" w:color="000000"/>
              <w:left w:val="single" w:sz="4" w:space="0" w:color="000000"/>
              <w:bottom w:val="single" w:sz="8" w:space="0" w:color="000000"/>
              <w:right w:val="single" w:sz="4" w:space="0" w:color="000000"/>
            </w:tcBorders>
          </w:tcPr>
          <w:p w:rsidR="006B3C19" w:rsidRDefault="00B76502">
            <w:pPr>
              <w:spacing w:after="242" w:line="274" w:lineRule="auto"/>
              <w:ind w:left="14" w:right="69" w:firstLine="0"/>
            </w:pPr>
            <w:r>
              <w:t xml:space="preserve">Pakeisti egzaminus raštu alternatyviomis vertinimo formomis arba atsisakyti jų tuose studijų dalykuose, kurie leidžia rinktis iš daug kitų žinių vertinimo formų. </w:t>
            </w:r>
          </w:p>
          <w:p w:rsidR="006B3C19" w:rsidRDefault="00B76502">
            <w:pPr>
              <w:spacing w:after="240" w:line="273" w:lineRule="auto"/>
              <w:ind w:left="14" w:firstLine="0"/>
              <w:jc w:val="left"/>
            </w:pPr>
            <w:r>
              <w:t xml:space="preserve">Reikėtų daugiau reklamos fakulteto </w:t>
            </w:r>
            <w:r>
              <w:t xml:space="preserve">lygmeniu, taip pat plėtoti ryšius su socialiniais partneriais. </w:t>
            </w:r>
          </w:p>
          <w:p w:rsidR="006B3C19" w:rsidRDefault="00B76502">
            <w:pPr>
              <w:spacing w:after="0" w:line="259" w:lineRule="auto"/>
              <w:ind w:left="14" w:firstLine="0"/>
              <w:jc w:val="left"/>
            </w:pPr>
            <w:r>
              <w:t xml:space="preserve">Reikėtų stiprinti ryšius su absolventais ir ilgesnį laiką sekti jų pasiekimus. </w:t>
            </w:r>
          </w:p>
        </w:tc>
      </w:tr>
      <w:tr w:rsidR="006B3C19">
        <w:trPr>
          <w:trHeight w:val="2627"/>
        </w:trPr>
        <w:tc>
          <w:tcPr>
            <w:tcW w:w="2687" w:type="dxa"/>
            <w:tcBorders>
              <w:top w:val="single" w:sz="44" w:space="0" w:color="EEECE1"/>
              <w:left w:val="single" w:sz="4" w:space="0" w:color="000000"/>
              <w:bottom w:val="double" w:sz="22" w:space="0" w:color="EEECE1"/>
              <w:right w:val="single" w:sz="8" w:space="0" w:color="000000"/>
            </w:tcBorders>
            <w:shd w:val="clear" w:color="auto" w:fill="EEECE1"/>
            <w:vAlign w:val="center"/>
          </w:tcPr>
          <w:p w:rsidR="006B3C19" w:rsidRDefault="00B76502">
            <w:pPr>
              <w:spacing w:after="0" w:line="259" w:lineRule="auto"/>
              <w:ind w:left="8" w:firstLine="0"/>
              <w:jc w:val="left"/>
            </w:pPr>
            <w:r>
              <w:rPr>
                <w:color w:val="136C73"/>
              </w:rPr>
              <w:t xml:space="preserve">Dėstytojai </w:t>
            </w:r>
          </w:p>
        </w:tc>
        <w:tc>
          <w:tcPr>
            <w:tcW w:w="7171" w:type="dxa"/>
            <w:tcBorders>
              <w:top w:val="single" w:sz="8" w:space="0" w:color="000000"/>
              <w:left w:val="single" w:sz="8" w:space="0" w:color="000000"/>
              <w:bottom w:val="single" w:sz="8" w:space="0" w:color="000000"/>
              <w:right w:val="single" w:sz="8" w:space="0" w:color="000000"/>
            </w:tcBorders>
          </w:tcPr>
          <w:p w:rsidR="006B3C19" w:rsidRDefault="00B76502">
            <w:pPr>
              <w:spacing w:after="235" w:line="277" w:lineRule="auto"/>
              <w:ind w:left="0" w:firstLine="0"/>
            </w:pPr>
            <w:r>
              <w:t xml:space="preserve">Didinti darbuotojų įvažiuojamąjį ir išvažiuojamąjį mobilumą bei atskirų darbuotojų, dalyvaujančių įvairiose programose, skaičių. </w:t>
            </w:r>
          </w:p>
          <w:p w:rsidR="006B3C19" w:rsidRDefault="00B76502">
            <w:pPr>
              <w:spacing w:after="0" w:line="259" w:lineRule="auto"/>
              <w:ind w:left="0" w:right="50" w:firstLine="0"/>
            </w:pPr>
            <w:r>
              <w:t>Peržiūrėti metodus, kurių buvo imtasi norint užtikrinti, kad dėstytojai būtų kompetentingi atlikti savo pareigas. Tai reiškia,</w:t>
            </w:r>
            <w:r>
              <w:t xml:space="preserve"> kad visas personalas turi būti tinkamai ir profesionaliai apmokytas atlikti savo, kaip dėstytojo ir vertintojo, vaidmenį aukštojoje mokykloje, įskaitant šiuolaikinių pedagoginių metodų naudojimą. </w:t>
            </w:r>
          </w:p>
        </w:tc>
      </w:tr>
      <w:tr w:rsidR="006B3C19">
        <w:trPr>
          <w:trHeight w:val="1198"/>
        </w:trPr>
        <w:tc>
          <w:tcPr>
            <w:tcW w:w="2687" w:type="dxa"/>
            <w:tcBorders>
              <w:top w:val="double" w:sz="22" w:space="0" w:color="EEECE1"/>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8" w:firstLine="0"/>
              <w:jc w:val="left"/>
            </w:pPr>
            <w:r>
              <w:rPr>
                <w:color w:val="136C73"/>
              </w:rPr>
              <w:t xml:space="preserve">Studijų materialieji ištekliai </w:t>
            </w:r>
          </w:p>
        </w:tc>
        <w:tc>
          <w:tcPr>
            <w:tcW w:w="7171" w:type="dxa"/>
            <w:tcBorders>
              <w:top w:val="single" w:sz="8" w:space="0" w:color="000000"/>
              <w:left w:val="single" w:sz="4" w:space="0" w:color="000000"/>
              <w:bottom w:val="single" w:sz="4" w:space="0" w:color="000000"/>
              <w:right w:val="single" w:sz="4" w:space="0" w:color="000000"/>
            </w:tcBorders>
            <w:vAlign w:val="center"/>
          </w:tcPr>
          <w:p w:rsidR="006B3C19" w:rsidRDefault="00B76502">
            <w:pPr>
              <w:spacing w:after="0" w:line="259" w:lineRule="auto"/>
              <w:ind w:left="14" w:right="67" w:firstLine="0"/>
            </w:pPr>
            <w:r>
              <w:t xml:space="preserve">Studijų patalpos ir laboratorijos yra modernios ir gerai prižiūrimos. Universitetas turėtų ir toliau stengtis užtikrinti nuolatinį įrangos atnaujinimą.  </w:t>
            </w:r>
          </w:p>
        </w:tc>
      </w:tr>
      <w:tr w:rsidR="006B3C19">
        <w:trPr>
          <w:trHeight w:val="1223"/>
        </w:trPr>
        <w:tc>
          <w:tcPr>
            <w:tcW w:w="268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6B3C19" w:rsidRDefault="00B76502">
            <w:pPr>
              <w:spacing w:after="0" w:line="259" w:lineRule="auto"/>
              <w:ind w:left="8" w:firstLine="0"/>
              <w:jc w:val="left"/>
            </w:pPr>
            <w:r>
              <w:rPr>
                <w:color w:val="136C73"/>
              </w:rPr>
              <w:t xml:space="preserve">Studijų kokybės valdymas ir viešinimas </w:t>
            </w:r>
          </w:p>
        </w:tc>
        <w:tc>
          <w:tcPr>
            <w:tcW w:w="7171" w:type="dxa"/>
            <w:tcBorders>
              <w:top w:val="single" w:sz="4" w:space="0" w:color="000000"/>
              <w:left w:val="single" w:sz="4" w:space="0" w:color="000000"/>
              <w:bottom w:val="single" w:sz="4" w:space="0" w:color="000000"/>
              <w:right w:val="single" w:sz="4" w:space="0" w:color="000000"/>
            </w:tcBorders>
          </w:tcPr>
          <w:p w:rsidR="006B3C19" w:rsidRDefault="00B76502">
            <w:pPr>
              <w:spacing w:after="0" w:line="259" w:lineRule="auto"/>
              <w:ind w:left="14" w:right="71" w:firstLine="0"/>
            </w:pPr>
            <w:r>
              <w:t xml:space="preserve">Studentų grįžtamąjį ryšį apie studijų procesą ir planavimą, grindžiamą formaliomis anketomis, turėtų pakeisti veiksmingesnė sistema, leidžianti greitai įtakoti studijų programos kokybę. </w:t>
            </w:r>
          </w:p>
        </w:tc>
      </w:tr>
    </w:tbl>
    <w:p w:rsidR="006B3C19" w:rsidRDefault="00B76502">
      <w:pPr>
        <w:spacing w:after="183" w:line="259" w:lineRule="auto"/>
        <w:ind w:left="158" w:firstLine="0"/>
        <w:jc w:val="left"/>
      </w:pPr>
      <w:r>
        <w:t xml:space="preserve"> </w:t>
      </w:r>
    </w:p>
    <w:p w:rsidR="006B3C19" w:rsidRDefault="00B76502">
      <w:pPr>
        <w:spacing w:after="0" w:line="259" w:lineRule="auto"/>
        <w:ind w:left="158" w:firstLine="0"/>
      </w:pPr>
      <w:r>
        <w:t xml:space="preserve"> </w:t>
      </w:r>
      <w:r>
        <w:tab/>
      </w:r>
      <w:r>
        <w:rPr>
          <w:b/>
        </w:rPr>
        <w:t xml:space="preserve"> </w:t>
      </w:r>
    </w:p>
    <w:p w:rsidR="006B3C19" w:rsidRDefault="00B76502">
      <w:pPr>
        <w:spacing w:after="197" w:line="276" w:lineRule="auto"/>
        <w:ind w:left="571" w:right="3949" w:firstLine="3524"/>
        <w:jc w:val="left"/>
      </w:pPr>
      <w:r>
        <w:rPr>
          <w:b/>
          <w:color w:val="136C73"/>
        </w:rPr>
        <w:t xml:space="preserve">VI. SANTRAUKA </w:t>
      </w:r>
      <w:r>
        <w:t xml:space="preserve"> </w:t>
      </w:r>
    </w:p>
    <w:p w:rsidR="006B3C19" w:rsidRDefault="00B76502">
      <w:pPr>
        <w:spacing w:after="202" w:line="272" w:lineRule="auto"/>
        <w:ind w:left="153"/>
        <w:jc w:val="left"/>
      </w:pPr>
      <w:r>
        <w:rPr>
          <w:b/>
        </w:rPr>
        <w:t xml:space="preserve">Pagrindiniai Biologijos krypties studijų teigiami ir neigiami vertinamųjų sričių kokybės aspektai Klaipėdos universitete  </w:t>
      </w:r>
    </w:p>
    <w:p w:rsidR="006B3C19" w:rsidRDefault="00B76502">
      <w:pPr>
        <w:ind w:left="153" w:right="48"/>
      </w:pPr>
      <w:r>
        <w:lastRenderedPageBreak/>
        <w:t>Bendros bakalauro studijų programos Biologija ir jūros biotechnologija vertinimo išvados yra teigiamos. Ekspertų grupė gavo visą info</w:t>
      </w:r>
      <w:r>
        <w:t xml:space="preserve">rmaciją, reikalingą sėkmingam programos vertinimui. Remdamasi išsamia savianalizės suvestine ir virtualiais susitikimais su įvairiais socialiniais dalininkais, o taip pat papildomais dokumentais, kuriuos be pateikė KU, ekspertų grupė išskiria pagrindinius </w:t>
      </w:r>
      <w:r>
        <w:t xml:space="preserve">teigiamus ir neigiamus programų vertinamųjų sričių kokybės aspektus: </w:t>
      </w:r>
    </w:p>
    <w:p w:rsidR="006B3C19" w:rsidRDefault="00B76502">
      <w:pPr>
        <w:spacing w:after="261" w:line="259" w:lineRule="auto"/>
        <w:ind w:left="153"/>
        <w:jc w:val="left"/>
      </w:pPr>
      <w:r>
        <w:rPr>
          <w:u w:val="single" w:color="000000"/>
        </w:rPr>
        <w:t>Teigiami vertinamųjų sričių kokybės aspektai:</w:t>
      </w:r>
      <w:r>
        <w:t xml:space="preserve"> </w:t>
      </w:r>
    </w:p>
    <w:p w:rsidR="006B3C19" w:rsidRDefault="00B76502">
      <w:pPr>
        <w:ind w:left="153" w:right="48"/>
      </w:pPr>
      <w:r>
        <w:t>Studijų programa pasižymi gera struktūra, o tikslai ir studijų rezultatai yra aiškiai apibrėžti. Studijų programa suteikia puikias galimybe</w:t>
      </w:r>
      <w:r>
        <w:t xml:space="preserve">s studentų individualiam darbui/moksliniams tyrimams ir atitinka visuomenės bei darbo rinkos poreikius. Ji suteikia puikias galimybes įsidarbinti ir (arba) tęsti studijas antroje pakopoje. </w:t>
      </w:r>
    </w:p>
    <w:p w:rsidR="006B3C19" w:rsidRDefault="00B76502">
      <w:pPr>
        <w:ind w:left="153" w:right="48"/>
      </w:pPr>
      <w:r>
        <w:t>Dėstytojų mokslinė patirtis ir kvalifikacija yra labai geri. Vykdo</w:t>
      </w:r>
      <w:r>
        <w:t xml:space="preserve">mi keli itin reikšmingi moksliniai tyrimai, kuriems skiriamas nacionalinis ir tarptautinis finansavimas. </w:t>
      </w:r>
    </w:p>
    <w:p w:rsidR="006B3C19" w:rsidRDefault="00B76502">
      <w:pPr>
        <w:ind w:left="153" w:right="48"/>
      </w:pPr>
      <w:r>
        <w:t xml:space="preserve">Nors reorganizavimo procesas, sujungiant Jūros technologijų ir gamtos mokslų fakultetą su Jūros tyrimų institutu (toliau – </w:t>
      </w:r>
      <w:r>
        <w:t xml:space="preserve">JTI), tebesitęsia, tačiau kol kas jis vyksta sėkmingai, o JTI labai aktyviai reklamuoja programą potencialių studentų tarpe. </w:t>
      </w:r>
    </w:p>
    <w:p w:rsidR="006B3C19" w:rsidRDefault="00B76502">
      <w:pPr>
        <w:spacing w:after="9"/>
        <w:ind w:left="153" w:right="48"/>
      </w:pPr>
      <w:r>
        <w:t>Gerus individualius visų studentų, įskaitant studentus su negalia ir specialiaisiais poreikiais, studijų rezultatus užtikrina įvai</w:t>
      </w:r>
      <w:r>
        <w:t xml:space="preserve">rių studijų metodų taikymas ir veiksmingas dėstytojų bei studentų bendradarbiavimas.  </w:t>
      </w:r>
    </w:p>
    <w:p w:rsidR="006B3C19" w:rsidRDefault="00B76502">
      <w:pPr>
        <w:spacing w:after="16" w:line="259" w:lineRule="auto"/>
        <w:ind w:left="158" w:firstLine="0"/>
        <w:jc w:val="left"/>
      </w:pPr>
      <w:r>
        <w:t xml:space="preserve"> </w:t>
      </w:r>
    </w:p>
    <w:p w:rsidR="006B3C19" w:rsidRDefault="00B76502">
      <w:pPr>
        <w:spacing w:after="6"/>
        <w:ind w:left="153" w:right="48"/>
      </w:pPr>
      <w:r>
        <w:t>Studijoms ir moksliniams tyrimams skirtos laboratorijos yra gerai įrengtos taip suteikiant studentams puikias galimybes vykdyti savo mokslinius tyrimus. JTI planuoja a</w:t>
      </w:r>
      <w:r>
        <w:t xml:space="preserve">tnaujinti ir toliau plėtoti mokslinių tyrimų infrastruktūrą. </w:t>
      </w:r>
    </w:p>
    <w:p w:rsidR="006B3C19" w:rsidRDefault="00B76502">
      <w:pPr>
        <w:spacing w:after="21" w:line="259" w:lineRule="auto"/>
        <w:ind w:left="158" w:firstLine="0"/>
        <w:jc w:val="left"/>
      </w:pPr>
      <w:r>
        <w:t xml:space="preserve"> </w:t>
      </w:r>
    </w:p>
    <w:p w:rsidR="006B3C19" w:rsidRDefault="00B76502">
      <w:pPr>
        <w:spacing w:after="6"/>
        <w:ind w:left="153" w:right="48"/>
      </w:pPr>
      <w:r>
        <w:t>Studijų proceso organizavimu ir vertinimu rūpinasi JTI vidinė Studijų organizavimo grupė, į kurią įeina visi socialiniai dalininkai, kasmet susitinkantys aptarti studijų kokybės remiantis stud</w:t>
      </w:r>
      <w:r>
        <w:t xml:space="preserve">entų ir absolventų apklausų duomenimis. </w:t>
      </w:r>
    </w:p>
    <w:p w:rsidR="006B3C19" w:rsidRDefault="00B76502">
      <w:pPr>
        <w:spacing w:after="16" w:line="259" w:lineRule="auto"/>
        <w:ind w:left="158" w:firstLine="0"/>
        <w:jc w:val="left"/>
      </w:pPr>
      <w:r>
        <w:t xml:space="preserve"> </w:t>
      </w:r>
    </w:p>
    <w:p w:rsidR="006B3C19" w:rsidRDefault="00B76502">
      <w:pPr>
        <w:spacing w:after="20" w:line="259" w:lineRule="auto"/>
        <w:ind w:left="153"/>
        <w:jc w:val="left"/>
      </w:pPr>
      <w:r>
        <w:t xml:space="preserve"> </w:t>
      </w:r>
      <w:r>
        <w:rPr>
          <w:u w:val="single" w:color="000000"/>
        </w:rPr>
        <w:t>Neigiami vertinamųjų sričių kokybės aspektai:</w:t>
      </w:r>
      <w:r>
        <w:t xml:space="preserve"> </w:t>
      </w:r>
    </w:p>
    <w:p w:rsidR="006B3C19" w:rsidRDefault="00B76502">
      <w:pPr>
        <w:spacing w:after="16" w:line="259" w:lineRule="auto"/>
        <w:ind w:left="158" w:firstLine="0"/>
        <w:jc w:val="left"/>
      </w:pPr>
      <w:r>
        <w:t xml:space="preserve"> </w:t>
      </w:r>
    </w:p>
    <w:p w:rsidR="006B3C19" w:rsidRDefault="00B76502">
      <w:pPr>
        <w:ind w:left="153" w:right="48"/>
      </w:pPr>
      <w:r>
        <w:t>Studijų rezultatai nepakankamai apima studijų programos Biologija ir jūros biotechnologija biotechnologijos sritį, t. y. studijų programoje nepakankamai atsižvelgi</w:t>
      </w:r>
      <w:r>
        <w:t xml:space="preserve">ama į studijų rezultatus, kuriuose akcentuojamos technologijos mokslų žinios ir jų taikymas.  </w:t>
      </w:r>
    </w:p>
    <w:p w:rsidR="006B3C19" w:rsidRDefault="00B76502">
      <w:pPr>
        <w:ind w:left="153" w:right="48"/>
      </w:pPr>
      <w:r>
        <w:t xml:space="preserve">Studijų programos turinys nepakankamai plėtoja biologijos dalį programoje, todėl programos pavadinimas neatitinka tikrojo jos plano. </w:t>
      </w:r>
    </w:p>
    <w:p w:rsidR="006B3C19" w:rsidRDefault="00B76502">
      <w:pPr>
        <w:spacing w:after="6"/>
        <w:ind w:left="153" w:right="48"/>
      </w:pPr>
      <w:r>
        <w:t xml:space="preserve">Plati trejų metų bakalauro studijų programa Biologija ir jūros biotechnologija daugiausia grindžiama bendraisiais studijų dalykais ir tik keletu pasirenkamųjų dalykų, skirtų specifinėms žinioms įgyti. </w:t>
      </w:r>
    </w:p>
    <w:p w:rsidR="006B3C19" w:rsidRDefault="00B76502">
      <w:pPr>
        <w:spacing w:after="20" w:line="259" w:lineRule="auto"/>
        <w:ind w:left="158" w:firstLine="0"/>
        <w:jc w:val="left"/>
      </w:pPr>
      <w:r>
        <w:t xml:space="preserve"> </w:t>
      </w:r>
    </w:p>
    <w:p w:rsidR="006B3C19" w:rsidRDefault="00B76502">
      <w:pPr>
        <w:spacing w:after="7"/>
        <w:ind w:left="153" w:right="48"/>
      </w:pPr>
      <w:r>
        <w:lastRenderedPageBreak/>
        <w:t>Biologijos ir jūros biotechnologijos studijų program</w:t>
      </w:r>
      <w:r>
        <w:t xml:space="preserve">oje labai silpnai diegiami modernūs ir įvairūs studijų ir vertinimo metodai. Studijų dalykų aprašuose siūloma studijų literatūra yra šiek tiek pasenusi. </w:t>
      </w:r>
    </w:p>
    <w:p w:rsidR="006B3C19" w:rsidRDefault="00B76502">
      <w:pPr>
        <w:spacing w:after="20" w:line="259" w:lineRule="auto"/>
        <w:ind w:left="158" w:firstLine="0"/>
        <w:jc w:val="left"/>
      </w:pPr>
      <w:r>
        <w:t xml:space="preserve"> </w:t>
      </w:r>
    </w:p>
    <w:p w:rsidR="006B3C19" w:rsidRDefault="00B76502">
      <w:pPr>
        <w:spacing w:after="9"/>
        <w:ind w:left="153" w:right="48"/>
      </w:pPr>
      <w:r>
        <w:t>Nepakankamas dėmesys dėstytojų profesionalumui, ypač mokymosi ir dėstymo srityse, ir labai mažas dar</w:t>
      </w:r>
      <w:r>
        <w:t xml:space="preserve">buotojų mobilumas yra probleminiai aspektai Klaipėdos universitete, į kuriuos derėtų atsižvelgti. </w:t>
      </w:r>
    </w:p>
    <w:p w:rsidR="006B3C19" w:rsidRDefault="00B76502">
      <w:pPr>
        <w:spacing w:after="16" w:line="259" w:lineRule="auto"/>
        <w:ind w:left="158" w:firstLine="0"/>
        <w:jc w:val="left"/>
      </w:pPr>
      <w:r>
        <w:t xml:space="preserve"> </w:t>
      </w:r>
    </w:p>
    <w:p w:rsidR="006B3C19" w:rsidRDefault="00B76502">
      <w:pPr>
        <w:spacing w:after="8"/>
        <w:ind w:left="153" w:right="48"/>
      </w:pPr>
      <w:r>
        <w:t xml:space="preserve">Pastebimas žemas studentų mobilumo lygis per pastaruosius 3 metus, kuris tikriausiai taip pat buvo nulemtas pandemijos. </w:t>
      </w:r>
    </w:p>
    <w:p w:rsidR="006B3C19" w:rsidRDefault="00B76502">
      <w:pPr>
        <w:spacing w:after="16" w:line="259" w:lineRule="auto"/>
        <w:ind w:left="158" w:firstLine="0"/>
        <w:jc w:val="left"/>
      </w:pPr>
      <w:r>
        <w:t xml:space="preserve"> </w:t>
      </w:r>
    </w:p>
    <w:p w:rsidR="006B3C19" w:rsidRDefault="00B76502">
      <w:pPr>
        <w:spacing w:after="9"/>
        <w:ind w:left="153" w:right="48"/>
      </w:pPr>
      <w:r>
        <w:t xml:space="preserve">Labai mažas studentų, kurie įstojo į prioritetiniu numeriu pasirinktą studijų programą, skaičius. </w:t>
      </w:r>
    </w:p>
    <w:p w:rsidR="006B3C19" w:rsidRDefault="00B76502">
      <w:pPr>
        <w:spacing w:after="20" w:line="259" w:lineRule="auto"/>
        <w:ind w:left="158" w:firstLine="0"/>
        <w:jc w:val="left"/>
      </w:pPr>
      <w:r>
        <w:t xml:space="preserve"> </w:t>
      </w:r>
    </w:p>
    <w:p w:rsidR="006B3C19" w:rsidRDefault="00B76502">
      <w:pPr>
        <w:spacing w:after="4"/>
        <w:ind w:left="153" w:right="48"/>
      </w:pPr>
      <w:r>
        <w:t>Oficialių apklausų dėl studijų programos tobulinimo kokybė ir gautų duomenų apdorojimas nėra patikimi dėl mažo respondentų skaičiaus ir neefektyvių klausim</w:t>
      </w:r>
      <w:r>
        <w:t xml:space="preserve">ynų. </w:t>
      </w:r>
    </w:p>
    <w:p w:rsidR="006B3C19" w:rsidRDefault="00B76502">
      <w:pPr>
        <w:spacing w:after="222" w:line="259" w:lineRule="auto"/>
        <w:ind w:left="158" w:firstLine="0"/>
        <w:jc w:val="left"/>
      </w:pPr>
      <w:r>
        <w:rPr>
          <w:b/>
        </w:rPr>
        <w:t xml:space="preserve"> </w:t>
      </w:r>
    </w:p>
    <w:p w:rsidR="006B3C19" w:rsidRDefault="00B76502">
      <w:pPr>
        <w:spacing w:after="203" w:line="259" w:lineRule="auto"/>
        <w:ind w:left="109" w:firstLine="0"/>
        <w:jc w:val="center"/>
      </w:pPr>
      <w:r>
        <w:rPr>
          <w:b/>
        </w:rPr>
        <w:t xml:space="preserve">_______________ </w:t>
      </w:r>
    </w:p>
    <w:p w:rsidR="006B3C19" w:rsidRDefault="00B76502">
      <w:pPr>
        <w:spacing w:after="218" w:line="259" w:lineRule="auto"/>
        <w:ind w:left="158" w:firstLine="0"/>
        <w:jc w:val="left"/>
      </w:pPr>
      <w:r>
        <w:rPr>
          <w:rFonts w:ascii="Times New Roman" w:eastAsia="Times New Roman" w:hAnsi="Times New Roman" w:cs="Times New Roman"/>
        </w:rPr>
        <w:t xml:space="preserve"> </w:t>
      </w:r>
    </w:p>
    <w:p w:rsidR="006B3C19" w:rsidRDefault="00B76502">
      <w:pPr>
        <w:spacing w:after="276" w:line="274" w:lineRule="auto"/>
        <w:ind w:left="158" w:right="68" w:firstLine="0"/>
      </w:pPr>
      <w:r>
        <w:rPr>
          <w:rFonts w:ascii="Times New Roman" w:eastAsia="Times New Roman" w:hAnsi="Times New Roman" w:cs="Times New Roman"/>
        </w:rPr>
        <w:t xml:space="preserve">Paslaugos teikėjas patvirtina, jog yra susipažinęs su Lietuvos Respublikos baudžiamojo kodekso 235 straipsnio, numatančio atsakomybę už melagingą ar žinomai neteisingai atliktą vertimą, reikalavimais.  </w:t>
      </w:r>
    </w:p>
    <w:p w:rsidR="006B3C19" w:rsidRDefault="00B76502">
      <w:pPr>
        <w:spacing w:after="0" w:line="259" w:lineRule="auto"/>
        <w:ind w:left="0" w:right="57" w:firstLine="0"/>
        <w:jc w:val="right"/>
      </w:pPr>
      <w:r>
        <w:rPr>
          <w:rFonts w:ascii="Times New Roman" w:eastAsia="Times New Roman" w:hAnsi="Times New Roman" w:cs="Times New Roman"/>
        </w:rPr>
        <w:t>Vertėjo(-</w:t>
      </w:r>
      <w:r>
        <w:rPr>
          <w:rFonts w:ascii="Times New Roman" w:eastAsia="Times New Roman" w:hAnsi="Times New Roman" w:cs="Times New Roman"/>
        </w:rPr>
        <w:t>s) rekvizitai (vardas, pavardė, parašas)</w:t>
      </w:r>
      <w:r>
        <w:rPr>
          <w:rFonts w:ascii="Times New Roman" w:eastAsia="Times New Roman" w:hAnsi="Times New Roman" w:cs="Times New Roman"/>
          <w:b/>
          <w:sz w:val="28"/>
        </w:rPr>
        <w:t xml:space="preserve"> </w:t>
      </w:r>
    </w:p>
    <w:sectPr w:rsidR="006B3C19">
      <w:footerReference w:type="even" r:id="rId11"/>
      <w:footerReference w:type="default" r:id="rId12"/>
      <w:footerReference w:type="first" r:id="rId13"/>
      <w:pgSz w:w="11904" w:h="16838"/>
      <w:pgMar w:top="1139" w:right="512" w:bottom="1378" w:left="1541" w:header="567" w:footer="566"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02" w:rsidRDefault="00B76502">
      <w:pPr>
        <w:spacing w:after="0" w:line="240" w:lineRule="auto"/>
      </w:pPr>
      <w:r>
        <w:separator/>
      </w:r>
    </w:p>
  </w:endnote>
  <w:endnote w:type="continuationSeparator" w:id="0">
    <w:p w:rsidR="00B76502" w:rsidRDefault="00B7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19" w:rsidRDefault="00B76502">
    <w:pPr>
      <w:spacing w:after="0" w:line="259" w:lineRule="auto"/>
      <w:ind w:left="0" w:right="-48" w:firstLine="0"/>
      <w:jc w:val="right"/>
    </w:pPr>
    <w:r>
      <w:rPr>
        <w:sz w:val="22"/>
      </w:rPr>
      <w:fldChar w:fldCharType="begin"/>
    </w:r>
    <w:r>
      <w:rPr>
        <w:sz w:val="22"/>
      </w:rPr>
      <w:instrText xml:space="preserve"> PAGE   \* MERGEFORMAT </w:instrText>
    </w:r>
    <w:r>
      <w:rPr>
        <w:sz w:val="22"/>
      </w:rPr>
      <w:fldChar w:fldCharType="separate"/>
    </w:r>
    <w:r w:rsidR="00366C6D">
      <w:rPr>
        <w:noProof/>
        <w:sz w:val="22"/>
      </w:rPr>
      <w:t>2</w:t>
    </w:r>
    <w:r>
      <w:rPr>
        <w:sz w:val="22"/>
      </w:rPr>
      <w:fldChar w:fldCharType="end"/>
    </w:r>
    <w:r>
      <w:rPr>
        <w:sz w:val="22"/>
      </w:rPr>
      <w:t xml:space="preserve"> </w:t>
    </w:r>
  </w:p>
  <w:p w:rsidR="006B3C19" w:rsidRDefault="00B76502">
    <w:pPr>
      <w:spacing w:after="0" w:line="259" w:lineRule="auto"/>
      <w:ind w:left="95" w:firstLine="0"/>
      <w:jc w:val="center"/>
    </w:pPr>
    <w:r>
      <w:rPr>
        <w:sz w:val="22"/>
      </w:rPr>
      <w:t xml:space="preserve"> </w:t>
    </w:r>
  </w:p>
  <w:p w:rsidR="006B3C19" w:rsidRDefault="00B76502">
    <w:pPr>
      <w:spacing w:after="0" w:line="259" w:lineRule="auto"/>
      <w:ind w:left="95" w:firstLine="0"/>
      <w:jc w:val="center"/>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19" w:rsidRDefault="006B3C19">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19" w:rsidRDefault="006B3C19">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19" w:rsidRDefault="00B76502">
    <w:pPr>
      <w:spacing w:after="0" w:line="259" w:lineRule="auto"/>
      <w:ind w:left="0" w:right="48" w:firstLine="0"/>
      <w:jc w:val="right"/>
    </w:pPr>
    <w:r>
      <w:rPr>
        <w:sz w:val="22"/>
      </w:rPr>
      <w:fldChar w:fldCharType="begin"/>
    </w:r>
    <w:r>
      <w:rPr>
        <w:sz w:val="22"/>
      </w:rPr>
      <w:instrText xml:space="preserve"> PAGE   \* MERGEFORMAT </w:instrText>
    </w:r>
    <w:r>
      <w:rPr>
        <w:sz w:val="22"/>
      </w:rPr>
      <w:fldChar w:fldCharType="separate"/>
    </w:r>
    <w:r w:rsidR="00366C6D">
      <w:rPr>
        <w:noProof/>
        <w:sz w:val="22"/>
      </w:rPr>
      <w:t>12</w:t>
    </w:r>
    <w:r>
      <w:rPr>
        <w:sz w:val="22"/>
      </w:rPr>
      <w:fldChar w:fldCharType="end"/>
    </w:r>
    <w:r>
      <w:rPr>
        <w:sz w:val="22"/>
      </w:rPr>
      <w:t xml:space="preserve"> </w:t>
    </w:r>
  </w:p>
  <w:p w:rsidR="006B3C19" w:rsidRDefault="00B76502">
    <w:pPr>
      <w:spacing w:after="0" w:line="259" w:lineRule="auto"/>
      <w:ind w:left="157" w:firstLine="0"/>
      <w:jc w:val="center"/>
    </w:pPr>
    <w:r>
      <w:rPr>
        <w:sz w:val="22"/>
      </w:rPr>
      <w:t xml:space="preserve"> </w:t>
    </w:r>
  </w:p>
  <w:p w:rsidR="006B3C19" w:rsidRDefault="00B76502">
    <w:pPr>
      <w:spacing w:after="0" w:line="259" w:lineRule="auto"/>
      <w:ind w:left="157" w:firstLine="0"/>
      <w:jc w:val="center"/>
    </w:pP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19" w:rsidRDefault="00B76502">
    <w:pPr>
      <w:spacing w:after="0" w:line="259" w:lineRule="auto"/>
      <w:ind w:left="0" w:right="48" w:firstLine="0"/>
      <w:jc w:val="right"/>
    </w:pPr>
    <w:r>
      <w:rPr>
        <w:sz w:val="22"/>
      </w:rPr>
      <w:fldChar w:fldCharType="begin"/>
    </w:r>
    <w:r>
      <w:rPr>
        <w:sz w:val="22"/>
      </w:rPr>
      <w:instrText xml:space="preserve"> PAGE   \* MERGEFORMAT </w:instrText>
    </w:r>
    <w:r>
      <w:rPr>
        <w:sz w:val="22"/>
      </w:rPr>
      <w:fldChar w:fldCharType="separate"/>
    </w:r>
    <w:r w:rsidR="00366C6D">
      <w:rPr>
        <w:noProof/>
        <w:sz w:val="22"/>
      </w:rPr>
      <w:t>13</w:t>
    </w:r>
    <w:r>
      <w:rPr>
        <w:sz w:val="22"/>
      </w:rPr>
      <w:fldChar w:fldCharType="end"/>
    </w:r>
    <w:r>
      <w:rPr>
        <w:sz w:val="22"/>
      </w:rPr>
      <w:t xml:space="preserve"> </w:t>
    </w:r>
  </w:p>
  <w:p w:rsidR="006B3C19" w:rsidRDefault="00B76502">
    <w:pPr>
      <w:spacing w:after="0" w:line="259" w:lineRule="auto"/>
      <w:ind w:left="157" w:firstLine="0"/>
      <w:jc w:val="center"/>
    </w:pPr>
    <w:r>
      <w:rPr>
        <w:sz w:val="22"/>
      </w:rPr>
      <w:t xml:space="preserve"> </w:t>
    </w:r>
  </w:p>
  <w:p w:rsidR="006B3C19" w:rsidRDefault="00B76502">
    <w:pPr>
      <w:spacing w:after="0" w:line="259" w:lineRule="auto"/>
      <w:ind w:left="157" w:firstLine="0"/>
      <w:jc w:val="center"/>
    </w:pP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C19" w:rsidRDefault="00B76502">
    <w:pPr>
      <w:spacing w:after="0" w:line="259" w:lineRule="auto"/>
      <w:ind w:left="0" w:right="48" w:firstLine="0"/>
      <w:jc w:val="right"/>
    </w:pPr>
    <w:r>
      <w:rPr>
        <w:sz w:val="22"/>
      </w:rPr>
      <w:fldChar w:fldCharType="begin"/>
    </w:r>
    <w:r>
      <w:rPr>
        <w:sz w:val="22"/>
      </w:rPr>
      <w:instrText xml:space="preserve"> PAGE   \* MERGEFORMAT </w:instrText>
    </w:r>
    <w:r>
      <w:rPr>
        <w:sz w:val="22"/>
      </w:rPr>
      <w:fldChar w:fldCharType="separate"/>
    </w:r>
    <w:r>
      <w:rPr>
        <w:sz w:val="22"/>
      </w:rPr>
      <w:t>2</w:t>
    </w:r>
    <w:r>
      <w:rPr>
        <w:sz w:val="22"/>
      </w:rPr>
      <w:fldChar w:fldCharType="end"/>
    </w:r>
    <w:r>
      <w:rPr>
        <w:sz w:val="22"/>
      </w:rPr>
      <w:t xml:space="preserve"> </w:t>
    </w:r>
  </w:p>
  <w:p w:rsidR="006B3C19" w:rsidRDefault="00B76502">
    <w:pPr>
      <w:spacing w:after="0" w:line="259" w:lineRule="auto"/>
      <w:ind w:left="157" w:firstLine="0"/>
      <w:jc w:val="center"/>
    </w:pPr>
    <w:r>
      <w:rPr>
        <w:sz w:val="22"/>
      </w:rPr>
      <w:t xml:space="preserve"> </w:t>
    </w:r>
  </w:p>
  <w:p w:rsidR="006B3C19" w:rsidRDefault="00B76502">
    <w:pPr>
      <w:spacing w:after="0" w:line="259" w:lineRule="auto"/>
      <w:ind w:left="157" w:firstLine="0"/>
      <w:jc w:val="center"/>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02" w:rsidRDefault="00B76502">
      <w:pPr>
        <w:spacing w:after="0" w:line="240" w:lineRule="auto"/>
      </w:pPr>
      <w:r>
        <w:separator/>
      </w:r>
    </w:p>
  </w:footnote>
  <w:footnote w:type="continuationSeparator" w:id="0">
    <w:p w:rsidR="00B76502" w:rsidRDefault="00B7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E27EC"/>
    <w:multiLevelType w:val="hybridMultilevel"/>
    <w:tmpl w:val="8124B98A"/>
    <w:lvl w:ilvl="0" w:tplc="554EFDE0">
      <w:start w:val="2"/>
      <w:numFmt w:val="decimal"/>
      <w:lvlText w:val="%1"/>
      <w:lvlJc w:val="left"/>
      <w:pPr>
        <w:ind w:left="1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080167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974FA7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1E58B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2C68DE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1222D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B6A89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8645AD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AE2894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8A2CEB"/>
    <w:multiLevelType w:val="hybridMultilevel"/>
    <w:tmpl w:val="FA146400"/>
    <w:lvl w:ilvl="0" w:tplc="BA1C795C">
      <w:start w:val="1"/>
      <w:numFmt w:val="decimal"/>
      <w:lvlText w:val="%1."/>
      <w:lvlJc w:val="left"/>
      <w:pPr>
        <w:ind w:left="36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1" w:tplc="55646370">
      <w:start w:val="1"/>
      <w:numFmt w:val="lowerLetter"/>
      <w:lvlText w:val="%2"/>
      <w:lvlJc w:val="left"/>
      <w:pPr>
        <w:ind w:left="108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2" w:tplc="2B443520">
      <w:start w:val="1"/>
      <w:numFmt w:val="lowerRoman"/>
      <w:lvlText w:val="%3"/>
      <w:lvlJc w:val="left"/>
      <w:pPr>
        <w:ind w:left="180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3" w:tplc="5E60E644">
      <w:start w:val="1"/>
      <w:numFmt w:val="decimal"/>
      <w:lvlText w:val="%4"/>
      <w:lvlJc w:val="left"/>
      <w:pPr>
        <w:ind w:left="252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4" w:tplc="62A002C2">
      <w:start w:val="1"/>
      <w:numFmt w:val="lowerLetter"/>
      <w:lvlText w:val="%5"/>
      <w:lvlJc w:val="left"/>
      <w:pPr>
        <w:ind w:left="324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5" w:tplc="3E0CE646">
      <w:start w:val="1"/>
      <w:numFmt w:val="lowerRoman"/>
      <w:lvlText w:val="%6"/>
      <w:lvlJc w:val="left"/>
      <w:pPr>
        <w:ind w:left="396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6" w:tplc="96000144">
      <w:start w:val="1"/>
      <w:numFmt w:val="decimal"/>
      <w:lvlText w:val="%7"/>
      <w:lvlJc w:val="left"/>
      <w:pPr>
        <w:ind w:left="468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7" w:tplc="DEE6CE36">
      <w:start w:val="1"/>
      <w:numFmt w:val="lowerLetter"/>
      <w:lvlText w:val="%8"/>
      <w:lvlJc w:val="left"/>
      <w:pPr>
        <w:ind w:left="540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lvl w:ilvl="8" w:tplc="6ED45350">
      <w:start w:val="1"/>
      <w:numFmt w:val="lowerRoman"/>
      <w:lvlText w:val="%9"/>
      <w:lvlJc w:val="left"/>
      <w:pPr>
        <w:ind w:left="6120"/>
      </w:pPr>
      <w:rPr>
        <w:rFonts w:ascii="Cambria" w:eastAsia="Cambria" w:hAnsi="Cambria" w:cs="Cambria"/>
        <w:b w:val="0"/>
        <w:i w:val="0"/>
        <w:strike w:val="0"/>
        <w:dstrike w:val="0"/>
        <w:color w:val="FFFFFF"/>
        <w:sz w:val="24"/>
        <w:szCs w:val="24"/>
        <w:u w:val="none" w:color="000000"/>
        <w:bdr w:val="none" w:sz="0" w:space="0" w:color="auto"/>
        <w:shd w:val="clear" w:color="auto" w:fill="auto"/>
        <w:vertAlign w:val="baseline"/>
      </w:rPr>
    </w:lvl>
  </w:abstractNum>
  <w:abstractNum w:abstractNumId="2" w15:restartNumberingAfterBreak="0">
    <w:nsid w:val="50F168CB"/>
    <w:multiLevelType w:val="hybridMultilevel"/>
    <w:tmpl w:val="12C69FC4"/>
    <w:lvl w:ilvl="0" w:tplc="A4A82F14">
      <w:start w:val="1"/>
      <w:numFmt w:val="decimal"/>
      <w:lvlText w:val="%1."/>
      <w:lvlJc w:val="left"/>
      <w:pPr>
        <w:ind w:left="302"/>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1" w:tplc="7E3AE0DA">
      <w:start w:val="1"/>
      <w:numFmt w:val="lowerLetter"/>
      <w:lvlText w:val="%2"/>
      <w:lvlJc w:val="left"/>
      <w:pPr>
        <w:ind w:left="149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2" w:tplc="C2D4CAA4">
      <w:start w:val="1"/>
      <w:numFmt w:val="lowerRoman"/>
      <w:lvlText w:val="%3"/>
      <w:lvlJc w:val="left"/>
      <w:pPr>
        <w:ind w:left="221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3" w:tplc="AD16932C">
      <w:start w:val="1"/>
      <w:numFmt w:val="decimal"/>
      <w:lvlText w:val="%4"/>
      <w:lvlJc w:val="left"/>
      <w:pPr>
        <w:ind w:left="293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4" w:tplc="88B2872E">
      <w:start w:val="1"/>
      <w:numFmt w:val="lowerLetter"/>
      <w:lvlText w:val="%5"/>
      <w:lvlJc w:val="left"/>
      <w:pPr>
        <w:ind w:left="365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5" w:tplc="9AF2ADB0">
      <w:start w:val="1"/>
      <w:numFmt w:val="lowerRoman"/>
      <w:lvlText w:val="%6"/>
      <w:lvlJc w:val="left"/>
      <w:pPr>
        <w:ind w:left="437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6" w:tplc="B50E625C">
      <w:start w:val="1"/>
      <w:numFmt w:val="decimal"/>
      <w:lvlText w:val="%7"/>
      <w:lvlJc w:val="left"/>
      <w:pPr>
        <w:ind w:left="509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7" w:tplc="D488230A">
      <w:start w:val="1"/>
      <w:numFmt w:val="lowerLetter"/>
      <w:lvlText w:val="%8"/>
      <w:lvlJc w:val="left"/>
      <w:pPr>
        <w:ind w:left="581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lvl w:ilvl="8" w:tplc="7FA2E2C2">
      <w:start w:val="1"/>
      <w:numFmt w:val="lowerRoman"/>
      <w:lvlText w:val="%9"/>
      <w:lvlJc w:val="left"/>
      <w:pPr>
        <w:ind w:left="6539"/>
      </w:pPr>
      <w:rPr>
        <w:rFonts w:ascii="Cambria" w:eastAsia="Cambria" w:hAnsi="Cambria" w:cs="Cambria"/>
        <w:b/>
        <w:bCs/>
        <w:i w:val="0"/>
        <w:strike w:val="0"/>
        <w:dstrike w:val="0"/>
        <w:color w:val="FFFFFF"/>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19"/>
    <w:rsid w:val="00366C6D"/>
    <w:rsid w:val="006B3C19"/>
    <w:rsid w:val="00B765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8088E-8F86-4CC9-B7F2-DD88B8E4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48" w:line="268" w:lineRule="auto"/>
      <w:ind w:left="10" w:hanging="10"/>
      <w:jc w:val="both"/>
    </w:pPr>
    <w:rPr>
      <w:rFonts w:ascii="Cambria" w:eastAsia="Cambria" w:hAnsi="Cambria" w:cs="Cambria"/>
      <w:color w:val="000000"/>
      <w:sz w:val="24"/>
    </w:rPr>
  </w:style>
  <w:style w:type="paragraph" w:styleId="Antrat1">
    <w:name w:val="heading 1"/>
    <w:next w:val="prastasis"/>
    <w:link w:val="Antrat1Diagrama"/>
    <w:uiPriority w:val="9"/>
    <w:unhideWhenUsed/>
    <w:qFormat/>
    <w:pPr>
      <w:keepNext/>
      <w:keepLines/>
      <w:spacing w:after="92"/>
      <w:ind w:left="108"/>
      <w:jc w:val="center"/>
      <w:outlineLvl w:val="0"/>
    </w:pPr>
    <w:rPr>
      <w:rFonts w:ascii="Cambria" w:eastAsia="Cambria" w:hAnsi="Cambria" w:cs="Cambria"/>
      <w:color w:val="136C73"/>
      <w:sz w:val="32"/>
    </w:rPr>
  </w:style>
  <w:style w:type="paragraph" w:styleId="Antrat2">
    <w:name w:val="heading 2"/>
    <w:next w:val="prastasis"/>
    <w:link w:val="Antrat2Diagrama"/>
    <w:uiPriority w:val="9"/>
    <w:unhideWhenUsed/>
    <w:qFormat/>
    <w:pPr>
      <w:keepNext/>
      <w:keepLines/>
      <w:spacing w:after="18"/>
      <w:ind w:left="10" w:right="3316" w:hanging="10"/>
      <w:jc w:val="center"/>
      <w:outlineLvl w:val="1"/>
    </w:pPr>
    <w:rPr>
      <w:rFonts w:ascii="Cambria" w:eastAsia="Cambria" w:hAnsi="Cambria" w:cs="Cambria"/>
      <w:b/>
      <w:color w:val="136C73"/>
      <w:sz w:val="24"/>
    </w:rPr>
  </w:style>
  <w:style w:type="paragraph" w:styleId="Antrat3">
    <w:name w:val="heading 3"/>
    <w:next w:val="prastasis"/>
    <w:link w:val="Antrat3Diagrama"/>
    <w:uiPriority w:val="9"/>
    <w:unhideWhenUsed/>
    <w:qFormat/>
    <w:pPr>
      <w:keepNext/>
      <w:keepLines/>
      <w:spacing w:after="18"/>
      <w:ind w:left="10" w:right="3316" w:hanging="10"/>
      <w:jc w:val="center"/>
      <w:outlineLvl w:val="2"/>
    </w:pPr>
    <w:rPr>
      <w:rFonts w:ascii="Cambria" w:eastAsia="Cambria" w:hAnsi="Cambria" w:cs="Cambria"/>
      <w:b/>
      <w:color w:val="136C73"/>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mbria" w:eastAsia="Cambria" w:hAnsi="Cambria" w:cs="Cambria"/>
      <w:color w:val="136C73"/>
      <w:sz w:val="32"/>
    </w:rPr>
  </w:style>
  <w:style w:type="character" w:customStyle="1" w:styleId="Antrat2Diagrama">
    <w:name w:val="Antraštė 2 Diagrama"/>
    <w:link w:val="Antrat2"/>
    <w:rPr>
      <w:rFonts w:ascii="Cambria" w:eastAsia="Cambria" w:hAnsi="Cambria" w:cs="Cambria"/>
      <w:b/>
      <w:color w:val="136C73"/>
      <w:sz w:val="24"/>
    </w:rPr>
  </w:style>
  <w:style w:type="character" w:customStyle="1" w:styleId="Antrat3Diagrama">
    <w:name w:val="Antraštė 3 Diagrama"/>
    <w:link w:val="Antrat3"/>
    <w:rPr>
      <w:rFonts w:ascii="Cambria" w:eastAsia="Cambria" w:hAnsi="Cambria" w:cs="Cambria"/>
      <w:b/>
      <w:color w:val="136C7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11731</Words>
  <Characters>6687</Characters>
  <Application>Microsoft Office Word</Application>
  <DocSecurity>0</DocSecurity>
  <Lines>55</Lines>
  <Paragraphs>36</Paragraphs>
  <ScaleCrop>false</ScaleCrop>
  <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Charževskytė</dc:creator>
  <cp:keywords/>
  <cp:lastModifiedBy>Laura Kolozinskienė</cp:lastModifiedBy>
  <cp:revision>2</cp:revision>
  <dcterms:created xsi:type="dcterms:W3CDTF">2022-05-18T06:13:00Z</dcterms:created>
  <dcterms:modified xsi:type="dcterms:W3CDTF">2022-05-18T06:13:00Z</dcterms:modified>
</cp:coreProperties>
</file>